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A6" w:rsidRPr="008B4831" w:rsidRDefault="004138A6" w:rsidP="008B4831">
      <w:pPr>
        <w:shd w:val="clear" w:color="auto" w:fill="FFFFFF"/>
        <w:spacing w:line="274" w:lineRule="exact"/>
        <w:rPr>
          <w:lang w:val="en-US"/>
        </w:rPr>
      </w:pPr>
    </w:p>
    <w:p w:rsidR="004138A6" w:rsidRPr="00202EE7" w:rsidRDefault="004138A6" w:rsidP="004138A6">
      <w:pPr>
        <w:suppressAutoHyphens/>
        <w:jc w:val="center"/>
        <w:rPr>
          <w:b/>
        </w:rPr>
      </w:pPr>
      <w:r w:rsidRPr="0059357D">
        <w:rPr>
          <w:b/>
        </w:rPr>
        <w:t>ТЕХНИЧЕСКОЕ ЗАДАНИЕ</w:t>
      </w:r>
    </w:p>
    <w:p w:rsidR="003E257B" w:rsidRPr="00202EE7" w:rsidRDefault="003E257B" w:rsidP="004138A6">
      <w:pPr>
        <w:suppressAutoHyphens/>
        <w:jc w:val="center"/>
        <w:rPr>
          <w:b/>
        </w:rPr>
      </w:pPr>
    </w:p>
    <w:p w:rsidR="003E257B" w:rsidRPr="0059357D" w:rsidRDefault="004138A6" w:rsidP="004138A6">
      <w:pPr>
        <w:suppressAutoHyphens/>
        <w:jc w:val="center"/>
      </w:pPr>
      <w:r w:rsidRPr="0059357D">
        <w:t xml:space="preserve">на открытый запрос предложений по выбору исполнителя </w:t>
      </w:r>
      <w:r w:rsidR="003E257B" w:rsidRPr="0059357D">
        <w:t xml:space="preserve">работ </w:t>
      </w:r>
      <w:proofErr w:type="gramStart"/>
      <w:r w:rsidR="003E257B" w:rsidRPr="0059357D">
        <w:t>по</w:t>
      </w:r>
      <w:proofErr w:type="gramEnd"/>
    </w:p>
    <w:p w:rsidR="003E257B" w:rsidRPr="0059357D" w:rsidRDefault="003E257B" w:rsidP="004138A6">
      <w:pPr>
        <w:suppressAutoHyphens/>
        <w:jc w:val="center"/>
        <w:rPr>
          <w:b/>
          <w:u w:val="single"/>
        </w:rPr>
      </w:pPr>
      <w:proofErr w:type="spellStart"/>
      <w:r w:rsidRPr="0059357D">
        <w:rPr>
          <w:b/>
          <w:u w:val="single"/>
        </w:rPr>
        <w:t>Вибродиагностике</w:t>
      </w:r>
      <w:proofErr w:type="spellEnd"/>
      <w:r w:rsidRPr="0059357D">
        <w:rPr>
          <w:b/>
          <w:u w:val="single"/>
        </w:rPr>
        <w:t xml:space="preserve"> гидроагрегатов Каскада </w:t>
      </w:r>
      <w:proofErr w:type="spellStart"/>
      <w:r w:rsidRPr="0059357D">
        <w:rPr>
          <w:b/>
          <w:u w:val="single"/>
        </w:rPr>
        <w:t>Кемских</w:t>
      </w:r>
      <w:proofErr w:type="spellEnd"/>
      <w:r w:rsidRPr="0059357D">
        <w:rPr>
          <w:b/>
          <w:u w:val="single"/>
        </w:rPr>
        <w:t xml:space="preserve"> ГЭС </w:t>
      </w:r>
    </w:p>
    <w:p w:rsidR="003E257B" w:rsidRPr="0059357D" w:rsidRDefault="003E257B" w:rsidP="004138A6">
      <w:pPr>
        <w:suppressAutoHyphens/>
        <w:jc w:val="center"/>
      </w:pPr>
      <w:r w:rsidRPr="0059357D">
        <w:t>филиала «Карельский» ОАО «ТГК-1»</w:t>
      </w:r>
      <w:r w:rsidR="00E90B13">
        <w:t xml:space="preserve"> в 2013 году.</w:t>
      </w:r>
    </w:p>
    <w:p w:rsidR="003E257B" w:rsidRPr="0059357D" w:rsidRDefault="003E257B" w:rsidP="004138A6">
      <w:pPr>
        <w:suppressAutoHyphens/>
        <w:jc w:val="center"/>
      </w:pPr>
    </w:p>
    <w:p w:rsidR="003E257B" w:rsidRDefault="003E257B" w:rsidP="004138A6">
      <w:pPr>
        <w:suppressAutoHyphens/>
        <w:jc w:val="center"/>
        <w:rPr>
          <w:b/>
          <w:lang w:val="en-US"/>
        </w:rPr>
      </w:pPr>
      <w:r w:rsidRPr="0059357D">
        <w:rPr>
          <w:b/>
        </w:rPr>
        <w:t>Номер закупки по ГКПЗ 3400/6.42-476</w:t>
      </w:r>
    </w:p>
    <w:p w:rsidR="00202EE7" w:rsidRPr="00202EE7" w:rsidRDefault="00202EE7" w:rsidP="004138A6">
      <w:pPr>
        <w:suppressAutoHyphens/>
        <w:jc w:val="center"/>
        <w:rPr>
          <w:b/>
          <w:lang w:val="en-US"/>
        </w:rPr>
      </w:pPr>
    </w:p>
    <w:p w:rsidR="004138A6" w:rsidRPr="00F61C98" w:rsidRDefault="004138A6" w:rsidP="00F61C98">
      <w:pPr>
        <w:pStyle w:val="a4"/>
        <w:numPr>
          <w:ilvl w:val="0"/>
          <w:numId w:val="6"/>
        </w:numPr>
        <w:suppressAutoHyphens/>
        <w:rPr>
          <w:b/>
        </w:rPr>
      </w:pPr>
      <w:r w:rsidRPr="00F61C98">
        <w:rPr>
          <w:b/>
        </w:rPr>
        <w:t>Общие требования.</w:t>
      </w:r>
    </w:p>
    <w:p w:rsidR="00F61C98" w:rsidRPr="00F61C98" w:rsidRDefault="00F61C98" w:rsidP="00F61C98">
      <w:pPr>
        <w:pStyle w:val="a4"/>
        <w:suppressAutoHyphens/>
        <w:ind w:left="1080"/>
        <w:rPr>
          <w:b/>
        </w:rPr>
      </w:pPr>
    </w:p>
    <w:p w:rsidR="00F41965" w:rsidRDefault="004138A6" w:rsidP="004138A6">
      <w:pPr>
        <w:suppressAutoHyphens/>
      </w:pPr>
      <w:r w:rsidRPr="00F41965">
        <w:rPr>
          <w:b/>
        </w:rPr>
        <w:t>Требования к месту выполнения работ:</w:t>
      </w:r>
      <w:r w:rsidR="00F61C98" w:rsidRPr="00F41965">
        <w:rPr>
          <w:b/>
        </w:rPr>
        <w:t xml:space="preserve"> </w:t>
      </w:r>
    </w:p>
    <w:p w:rsidR="004138A6" w:rsidRPr="00F61C98" w:rsidRDefault="00F61C98" w:rsidP="004138A6">
      <w:pPr>
        <w:suppressAutoHyphens/>
      </w:pPr>
      <w:proofErr w:type="spellStart"/>
      <w:proofErr w:type="gramStart"/>
      <w:r>
        <w:t>Кемский</w:t>
      </w:r>
      <w:proofErr w:type="spellEnd"/>
      <w:r>
        <w:t xml:space="preserve"> район, п. </w:t>
      </w:r>
      <w:proofErr w:type="spellStart"/>
      <w:r>
        <w:t>Вочаж</w:t>
      </w:r>
      <w:proofErr w:type="spellEnd"/>
      <w:r>
        <w:t xml:space="preserve">, </w:t>
      </w:r>
      <w:proofErr w:type="spellStart"/>
      <w:r>
        <w:t>Подужемская</w:t>
      </w:r>
      <w:proofErr w:type="spellEnd"/>
      <w:r>
        <w:t xml:space="preserve"> ГЭС, п. Кривой порог, </w:t>
      </w:r>
      <w:proofErr w:type="spellStart"/>
      <w:r>
        <w:t>Кривопорожская</w:t>
      </w:r>
      <w:proofErr w:type="spellEnd"/>
      <w:r>
        <w:t xml:space="preserve"> ГЭС, </w:t>
      </w:r>
      <w:proofErr w:type="spellStart"/>
      <w:r>
        <w:t>Калевальский</w:t>
      </w:r>
      <w:proofErr w:type="spellEnd"/>
      <w:r>
        <w:t xml:space="preserve"> район, п. Юшкозеро, </w:t>
      </w:r>
      <w:proofErr w:type="spellStart"/>
      <w:r>
        <w:t>Юшкозерская</w:t>
      </w:r>
      <w:proofErr w:type="spellEnd"/>
      <w:r>
        <w:t xml:space="preserve"> ГЭС</w:t>
      </w:r>
      <w:r w:rsidRPr="00F61C98">
        <w:t xml:space="preserve"> </w:t>
      </w:r>
      <w:r w:rsidR="004138A6" w:rsidRPr="00F61C98">
        <w:t xml:space="preserve"> </w:t>
      </w:r>
      <w:proofErr w:type="gramEnd"/>
    </w:p>
    <w:p w:rsidR="00F61C98" w:rsidRDefault="00F61C98" w:rsidP="004138A6">
      <w:pPr>
        <w:suppressAutoHyphens/>
      </w:pPr>
    </w:p>
    <w:p w:rsidR="00F61C98" w:rsidRPr="00F41965" w:rsidRDefault="004138A6" w:rsidP="00F61C98">
      <w:pPr>
        <w:suppressAutoHyphens/>
        <w:jc w:val="both"/>
        <w:rPr>
          <w:b/>
        </w:rPr>
      </w:pPr>
      <w:r w:rsidRPr="00F41965">
        <w:rPr>
          <w:b/>
        </w:rPr>
        <w:t xml:space="preserve">Должность, ФИО, контактный телефон ответственного лица, составившего техническое задание: </w:t>
      </w:r>
    </w:p>
    <w:p w:rsidR="00F61C98" w:rsidRDefault="00F61C98" w:rsidP="00F61C98">
      <w:pPr>
        <w:jc w:val="both"/>
      </w:pPr>
    </w:p>
    <w:p w:rsidR="00265698" w:rsidRDefault="007A1B73" w:rsidP="00F61C98">
      <w:pPr>
        <w:jc w:val="both"/>
      </w:pPr>
      <w:r>
        <w:t>От К</w:t>
      </w:r>
      <w:r w:rsidR="00F61C98">
        <w:t xml:space="preserve">аскада </w:t>
      </w:r>
      <w:proofErr w:type="spellStart"/>
      <w:r w:rsidR="00F61C98">
        <w:t>Кемских</w:t>
      </w:r>
      <w:proofErr w:type="spellEnd"/>
      <w:r w:rsidR="00F61C98">
        <w:t xml:space="preserve"> ГЭС – </w:t>
      </w:r>
      <w:r w:rsidR="0020149F">
        <w:t xml:space="preserve">зам. начальника ПТО </w:t>
      </w:r>
      <w:r w:rsidR="00F61C98">
        <w:t xml:space="preserve">Колесов Андрей Михайлович, </w:t>
      </w:r>
    </w:p>
    <w:p w:rsidR="00F61C98" w:rsidRPr="00445362" w:rsidRDefault="00F61C98" w:rsidP="00F61C98">
      <w:pPr>
        <w:jc w:val="both"/>
        <w:rPr>
          <w:sz w:val="16"/>
          <w:szCs w:val="16"/>
        </w:rPr>
      </w:pPr>
      <w:r>
        <w:t xml:space="preserve">т. </w:t>
      </w:r>
      <w:r w:rsidRPr="001E3658">
        <w:t>(814-58) 2-08-92</w:t>
      </w:r>
      <w:r>
        <w:t>.</w:t>
      </w:r>
    </w:p>
    <w:p w:rsidR="00F61C98" w:rsidRDefault="00F61C98" w:rsidP="00F61C98">
      <w:pPr>
        <w:jc w:val="both"/>
      </w:pPr>
      <w:r>
        <w:t xml:space="preserve">От филиала «Карельский» ОАО «ТГК-1», гидротехническая служба </w:t>
      </w:r>
      <w:r w:rsidR="0072711D">
        <w:t>–</w:t>
      </w:r>
      <w:r>
        <w:t xml:space="preserve"> </w:t>
      </w:r>
      <w:r w:rsidR="0072711D">
        <w:t xml:space="preserve">инженер </w:t>
      </w:r>
      <w:proofErr w:type="spellStart"/>
      <w:r w:rsidRPr="004D7260">
        <w:t>Ванаг</w:t>
      </w:r>
      <w:proofErr w:type="spellEnd"/>
      <w:r>
        <w:t xml:space="preserve"> </w:t>
      </w:r>
      <w:proofErr w:type="spellStart"/>
      <w:r>
        <w:t>Имант</w:t>
      </w:r>
      <w:proofErr w:type="spellEnd"/>
      <w:r>
        <w:t xml:space="preserve"> </w:t>
      </w:r>
      <w:proofErr w:type="spellStart"/>
      <w:r>
        <w:t>Эмильевич</w:t>
      </w:r>
      <w:proofErr w:type="spellEnd"/>
      <w:r>
        <w:t xml:space="preserve"> – (8142) 71-38-79.</w:t>
      </w:r>
    </w:p>
    <w:p w:rsidR="004138A6" w:rsidRPr="00AA5BA2" w:rsidRDefault="004138A6" w:rsidP="004138A6">
      <w:pPr>
        <w:suppressAutoHyphens/>
      </w:pPr>
    </w:p>
    <w:p w:rsidR="004138A6" w:rsidRDefault="00027A18" w:rsidP="004138A6">
      <w:pPr>
        <w:suppressAutoHyphens/>
        <w:rPr>
          <w:b/>
        </w:rPr>
      </w:pPr>
      <w:r>
        <w:rPr>
          <w:b/>
        </w:rPr>
        <w:t>Период выполнения работ</w:t>
      </w:r>
      <w:r w:rsidR="004138A6" w:rsidRPr="00AA5BA2">
        <w:rPr>
          <w:b/>
        </w:rPr>
        <w:t>:</w:t>
      </w:r>
    </w:p>
    <w:p w:rsidR="00565604" w:rsidRPr="00AA5BA2" w:rsidRDefault="00565604" w:rsidP="004138A6">
      <w:pPr>
        <w:suppressAutoHyphens/>
        <w:rPr>
          <w:b/>
        </w:rPr>
      </w:pPr>
    </w:p>
    <w:p w:rsidR="004138A6" w:rsidRPr="00AA5BA2" w:rsidRDefault="004138A6" w:rsidP="004138A6">
      <w:pPr>
        <w:suppressAutoHyphens/>
      </w:pPr>
      <w:r w:rsidRPr="00AA5BA2">
        <w:t xml:space="preserve">Начало                 </w:t>
      </w:r>
      <w:r w:rsidR="00F61C98">
        <w:t xml:space="preserve">февраль </w:t>
      </w:r>
      <w:r w:rsidRPr="00AA5BA2">
        <w:t>201</w:t>
      </w:r>
      <w:r w:rsidR="00565604">
        <w:t>3</w:t>
      </w:r>
      <w:r w:rsidRPr="00AA5BA2">
        <w:t xml:space="preserve"> г.</w:t>
      </w:r>
    </w:p>
    <w:p w:rsidR="004138A6" w:rsidRPr="00AA5BA2" w:rsidRDefault="004138A6" w:rsidP="004138A6">
      <w:pPr>
        <w:suppressAutoHyphens/>
      </w:pPr>
      <w:r w:rsidRPr="00AA5BA2">
        <w:t xml:space="preserve">Окончание           </w:t>
      </w:r>
      <w:r w:rsidR="00F61C98">
        <w:t>декабрь</w:t>
      </w:r>
      <w:r w:rsidRPr="00AA5BA2">
        <w:t xml:space="preserve"> 201</w:t>
      </w:r>
      <w:r w:rsidR="00565604">
        <w:t>3</w:t>
      </w:r>
      <w:r w:rsidRPr="00AA5BA2">
        <w:t xml:space="preserve"> г.</w:t>
      </w:r>
    </w:p>
    <w:p w:rsidR="004138A6" w:rsidRPr="00AA5BA2" w:rsidRDefault="004138A6" w:rsidP="004138A6">
      <w:pPr>
        <w:suppressAutoHyphens/>
        <w:jc w:val="both"/>
        <w:rPr>
          <w:i/>
          <w:sz w:val="16"/>
          <w:szCs w:val="16"/>
        </w:rPr>
      </w:pPr>
    </w:p>
    <w:p w:rsidR="004138A6" w:rsidRPr="00AA5BA2" w:rsidRDefault="00D731D8" w:rsidP="004138A6">
      <w:r>
        <w:rPr>
          <w:b/>
        </w:rPr>
        <w:t>Начальная (максимальная) цена</w:t>
      </w:r>
      <w:r w:rsidR="00FA4AED">
        <w:rPr>
          <w:b/>
        </w:rPr>
        <w:t xml:space="preserve"> закупки</w:t>
      </w:r>
      <w:r w:rsidR="004138A6" w:rsidRPr="00AA5BA2">
        <w:rPr>
          <w:b/>
        </w:rPr>
        <w:t xml:space="preserve"> - </w:t>
      </w:r>
      <w:r w:rsidR="00565604" w:rsidRPr="00565604">
        <w:t>562</w:t>
      </w:r>
      <w:r w:rsidR="00FA4AED">
        <w:t> 000,00</w:t>
      </w:r>
      <w:r w:rsidR="004138A6" w:rsidRPr="00AA5BA2">
        <w:t xml:space="preserve"> руб. без учета НДС, </w:t>
      </w:r>
    </w:p>
    <w:p w:rsidR="004138A6" w:rsidRDefault="004138A6" w:rsidP="004138A6">
      <w:r w:rsidRPr="00AA5BA2">
        <w:t xml:space="preserve">в том числе: </w:t>
      </w:r>
    </w:p>
    <w:p w:rsidR="007E223A" w:rsidRPr="00AA5BA2" w:rsidRDefault="007E223A" w:rsidP="007E223A">
      <w:pPr>
        <w:suppressAutoHyphens/>
      </w:pPr>
      <w:r>
        <w:t xml:space="preserve">                           </w:t>
      </w:r>
      <w:r w:rsidRPr="00AA5BA2">
        <w:t xml:space="preserve">1-й квартал - </w:t>
      </w:r>
      <w:r>
        <w:t>121</w:t>
      </w:r>
      <w:r w:rsidRPr="00AA5BA2">
        <w:t xml:space="preserve"> тыс. руб. без учета НДС;</w:t>
      </w:r>
    </w:p>
    <w:p w:rsidR="007E223A" w:rsidRPr="00AA5BA2" w:rsidRDefault="007E223A" w:rsidP="007E223A">
      <w:pPr>
        <w:suppressAutoHyphens/>
      </w:pPr>
      <w:r>
        <w:t xml:space="preserve">                           </w:t>
      </w:r>
      <w:r w:rsidRPr="00AA5BA2">
        <w:t xml:space="preserve">2-й квартал - </w:t>
      </w:r>
      <w:r>
        <w:t>281</w:t>
      </w:r>
      <w:r w:rsidRPr="00AA5BA2">
        <w:t xml:space="preserve"> тыс. руб. без учета НДС;</w:t>
      </w:r>
    </w:p>
    <w:p w:rsidR="007E223A" w:rsidRPr="00AA5BA2" w:rsidRDefault="007E223A" w:rsidP="007E223A">
      <w:pPr>
        <w:suppressAutoHyphens/>
      </w:pPr>
      <w:r>
        <w:t xml:space="preserve">                           </w:t>
      </w:r>
      <w:r w:rsidRPr="00AA5BA2">
        <w:t xml:space="preserve">3-й квартал - </w:t>
      </w:r>
      <w:r>
        <w:t>0</w:t>
      </w:r>
      <w:r w:rsidRPr="00AA5BA2">
        <w:t xml:space="preserve"> тыс. руб. без учета НДС;</w:t>
      </w:r>
    </w:p>
    <w:p w:rsidR="007E223A" w:rsidRPr="00AA5BA2" w:rsidRDefault="007E223A" w:rsidP="007E223A">
      <w:pPr>
        <w:suppressAutoHyphens/>
      </w:pPr>
      <w:r>
        <w:t xml:space="preserve">                           </w:t>
      </w:r>
      <w:r w:rsidRPr="00AA5BA2">
        <w:t xml:space="preserve">4-й квартал - </w:t>
      </w:r>
      <w:r>
        <w:t>160 тыс. руб. без учета НДС.</w:t>
      </w:r>
    </w:p>
    <w:p w:rsidR="007E223A" w:rsidRPr="00AA5BA2" w:rsidRDefault="007E223A" w:rsidP="004138A6"/>
    <w:p w:rsidR="004138A6" w:rsidRPr="00AA5BA2" w:rsidRDefault="004138A6" w:rsidP="004138A6">
      <w:pPr>
        <w:numPr>
          <w:ilvl w:val="0"/>
          <w:numId w:val="4"/>
        </w:numPr>
        <w:tabs>
          <w:tab w:val="num" w:pos="284"/>
          <w:tab w:val="decimal" w:pos="6237"/>
        </w:tabs>
        <w:ind w:left="0" w:firstLine="0"/>
      </w:pPr>
      <w:r w:rsidRPr="00AA5BA2">
        <w:t xml:space="preserve">стоимость материалов – </w:t>
      </w:r>
      <w:r w:rsidR="00565604">
        <w:t xml:space="preserve">      0</w:t>
      </w:r>
      <w:r w:rsidRPr="00AA5BA2">
        <w:t xml:space="preserve"> тыс. руб. без учёта НДС;</w:t>
      </w:r>
    </w:p>
    <w:p w:rsidR="004138A6" w:rsidRPr="00AA5BA2" w:rsidRDefault="004138A6" w:rsidP="004138A6">
      <w:pPr>
        <w:numPr>
          <w:ilvl w:val="0"/>
          <w:numId w:val="4"/>
        </w:numPr>
        <w:tabs>
          <w:tab w:val="num" w:pos="284"/>
        </w:tabs>
        <w:ind w:left="0" w:firstLine="0"/>
      </w:pPr>
      <w:r w:rsidRPr="00AA5BA2">
        <w:t xml:space="preserve">стоимость </w:t>
      </w:r>
      <w:proofErr w:type="spellStart"/>
      <w:r w:rsidRPr="00AA5BA2">
        <w:t>ЗиП</w:t>
      </w:r>
      <w:proofErr w:type="spellEnd"/>
      <w:r w:rsidRPr="00AA5BA2">
        <w:t xml:space="preserve"> –</w:t>
      </w:r>
      <w:r w:rsidR="00565604">
        <w:t xml:space="preserve">                    0</w:t>
      </w:r>
      <w:r w:rsidRPr="00AA5BA2">
        <w:t xml:space="preserve"> тыс. руб. без учёта НДС;</w:t>
      </w:r>
    </w:p>
    <w:p w:rsidR="004138A6" w:rsidRPr="00AA5BA2" w:rsidRDefault="004138A6" w:rsidP="004138A6">
      <w:pPr>
        <w:numPr>
          <w:ilvl w:val="0"/>
          <w:numId w:val="4"/>
        </w:numPr>
        <w:tabs>
          <w:tab w:val="num" w:pos="284"/>
        </w:tabs>
        <w:ind w:left="0" w:firstLine="0"/>
      </w:pPr>
      <w:r w:rsidRPr="00AA5BA2">
        <w:t xml:space="preserve">стоимость оборудования –  </w:t>
      </w:r>
      <w:r w:rsidR="00565604">
        <w:t xml:space="preserve"> 0 </w:t>
      </w:r>
      <w:r w:rsidRPr="00AA5BA2">
        <w:t>тыс. руб. без учёта НДС</w:t>
      </w:r>
    </w:p>
    <w:p w:rsidR="004138A6" w:rsidRPr="00AA5BA2" w:rsidRDefault="004138A6" w:rsidP="004138A6">
      <w:pPr>
        <w:suppressAutoHyphens/>
        <w:jc w:val="both"/>
        <w:rPr>
          <w:i/>
          <w:sz w:val="16"/>
          <w:szCs w:val="16"/>
        </w:rPr>
      </w:pPr>
    </w:p>
    <w:p w:rsidR="004138A6" w:rsidRPr="00AA5BA2" w:rsidRDefault="004138A6" w:rsidP="004138A6">
      <w:pPr>
        <w:suppressAutoHyphens/>
        <w:ind w:firstLine="567"/>
        <w:jc w:val="both"/>
      </w:pPr>
      <w:r w:rsidRPr="00AA5BA2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4138A6" w:rsidRDefault="004138A6" w:rsidP="004138A6">
      <w:pPr>
        <w:spacing w:after="200" w:line="276" w:lineRule="auto"/>
        <w:ind w:firstLine="567"/>
        <w:contextualSpacing/>
        <w:jc w:val="both"/>
        <w:rPr>
          <w:rFonts w:eastAsia="Calibri"/>
          <w:lang w:eastAsia="en-US"/>
        </w:rPr>
      </w:pPr>
      <w:r w:rsidRPr="00AA5BA2">
        <w:rPr>
          <w:rFonts w:eastAsia="Calibri"/>
          <w:lang w:eastAsia="en-US"/>
        </w:rPr>
        <w:t xml:space="preserve">Нормативные </w:t>
      </w:r>
      <w:proofErr w:type="gramStart"/>
      <w:r w:rsidRPr="00AA5BA2">
        <w:rPr>
          <w:rFonts w:eastAsia="Calibri"/>
          <w:lang w:eastAsia="en-US"/>
        </w:rPr>
        <w:t>документы</w:t>
      </w:r>
      <w:proofErr w:type="gramEnd"/>
      <w:r w:rsidRPr="00AA5BA2">
        <w:rPr>
          <w:rFonts w:eastAsia="Calibri"/>
          <w:lang w:eastAsia="en-US"/>
        </w:rPr>
        <w:t xml:space="preserve"> на основании которых определяется стоимость:</w:t>
      </w:r>
      <w:r w:rsidR="00CD6DC3">
        <w:rPr>
          <w:rFonts w:eastAsia="Calibri"/>
          <w:lang w:eastAsia="en-US"/>
        </w:rPr>
        <w:t xml:space="preserve"> базовые цены</w:t>
      </w:r>
      <w:r w:rsidRPr="00AA5BA2">
        <w:rPr>
          <w:rFonts w:eastAsia="Calibri"/>
          <w:lang w:eastAsia="en-US"/>
        </w:rPr>
        <w:t>.</w:t>
      </w:r>
    </w:p>
    <w:p w:rsidR="006843DE" w:rsidRPr="00EE45EA" w:rsidRDefault="006843DE" w:rsidP="00EE45EA">
      <w:pPr>
        <w:ind w:firstLine="709"/>
        <w:jc w:val="both"/>
      </w:pPr>
      <w:r w:rsidRPr="0059357D"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при оформлении документов о выполненных работах (актов форм КС-2, КС-3 и т.п.) должна быть указана их фактическая стоимость (без НДС).</w:t>
      </w:r>
    </w:p>
    <w:p w:rsidR="004138A6" w:rsidRPr="00AA5BA2" w:rsidRDefault="004138A6" w:rsidP="004138A6">
      <w:pPr>
        <w:suppressAutoHyphens/>
      </w:pPr>
    </w:p>
    <w:p w:rsidR="004138A6" w:rsidRPr="00CD6DC3" w:rsidRDefault="004138A6" w:rsidP="00CD6DC3">
      <w:pPr>
        <w:pStyle w:val="a4"/>
        <w:numPr>
          <w:ilvl w:val="0"/>
          <w:numId w:val="6"/>
        </w:numPr>
        <w:suppressAutoHyphens/>
        <w:rPr>
          <w:b/>
        </w:rPr>
      </w:pPr>
      <w:r w:rsidRPr="00CD6DC3">
        <w:rPr>
          <w:b/>
        </w:rPr>
        <w:t>Требования к выполнению работ.</w:t>
      </w:r>
    </w:p>
    <w:p w:rsidR="00CD6DC3" w:rsidRPr="00CD6DC3" w:rsidRDefault="00CD6DC3" w:rsidP="00CD6DC3">
      <w:pPr>
        <w:pStyle w:val="a4"/>
        <w:suppressAutoHyphens/>
        <w:ind w:left="1080"/>
        <w:rPr>
          <w:b/>
        </w:rPr>
      </w:pPr>
    </w:p>
    <w:p w:rsidR="00CD6DC3" w:rsidRDefault="004138A6" w:rsidP="004138A6">
      <w:pPr>
        <w:numPr>
          <w:ilvl w:val="0"/>
          <w:numId w:val="5"/>
        </w:numPr>
        <w:suppressAutoHyphens/>
        <w:jc w:val="both"/>
        <w:rPr>
          <w:b/>
        </w:rPr>
      </w:pPr>
      <w:r w:rsidRPr="00CD6DC3">
        <w:rPr>
          <w:b/>
        </w:rPr>
        <w:t>Цель работы</w:t>
      </w:r>
      <w:r w:rsidR="0026754B">
        <w:rPr>
          <w:b/>
        </w:rPr>
        <w:t>.</w:t>
      </w:r>
      <w:r w:rsidRPr="00CD6DC3">
        <w:rPr>
          <w:b/>
        </w:rPr>
        <w:t xml:space="preserve"> </w:t>
      </w:r>
    </w:p>
    <w:p w:rsidR="00CD6DC3" w:rsidRDefault="00CD6DC3" w:rsidP="00CD6DC3">
      <w:pPr>
        <w:suppressAutoHyphens/>
        <w:ind w:left="720"/>
        <w:jc w:val="both"/>
        <w:rPr>
          <w:b/>
        </w:rPr>
      </w:pPr>
    </w:p>
    <w:p w:rsidR="0026754B" w:rsidRDefault="0026754B" w:rsidP="0026754B">
      <w:pPr>
        <w:pStyle w:val="063"/>
        <w:tabs>
          <w:tab w:val="num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</w:t>
      </w:r>
      <w:r w:rsidRPr="00E517E0">
        <w:rPr>
          <w:sz w:val="24"/>
          <w:szCs w:val="24"/>
        </w:rPr>
        <w:t>бнаружени</w:t>
      </w:r>
      <w:r w:rsidR="00DB7401">
        <w:rPr>
          <w:sz w:val="24"/>
          <w:szCs w:val="24"/>
        </w:rPr>
        <w:t>е</w:t>
      </w:r>
      <w:r w:rsidRPr="00E517E0">
        <w:rPr>
          <w:sz w:val="24"/>
          <w:szCs w:val="24"/>
        </w:rPr>
        <w:t xml:space="preserve"> на ранней стадии развития дефектов в гидромеханической и электрической части агрегата, а также для оценки состояния отдельных его узлов</w:t>
      </w:r>
      <w:r>
        <w:rPr>
          <w:sz w:val="24"/>
          <w:szCs w:val="24"/>
        </w:rPr>
        <w:t xml:space="preserve"> по результатам вибрационных параметров</w:t>
      </w:r>
      <w:r w:rsidR="00797F33">
        <w:rPr>
          <w:sz w:val="24"/>
          <w:szCs w:val="24"/>
        </w:rPr>
        <w:t>.</w:t>
      </w:r>
      <w:r w:rsidRPr="00E517E0">
        <w:rPr>
          <w:sz w:val="24"/>
          <w:szCs w:val="24"/>
        </w:rPr>
        <w:t xml:space="preserve"> </w:t>
      </w:r>
    </w:p>
    <w:p w:rsidR="0026754B" w:rsidRDefault="0026754B" w:rsidP="00CD6DC3">
      <w:pPr>
        <w:suppressAutoHyphens/>
        <w:ind w:left="720"/>
        <w:jc w:val="both"/>
        <w:rPr>
          <w:b/>
        </w:rPr>
      </w:pPr>
    </w:p>
    <w:p w:rsidR="004138A6" w:rsidRPr="0026754B" w:rsidRDefault="004138A6" w:rsidP="0026754B">
      <w:pPr>
        <w:numPr>
          <w:ilvl w:val="0"/>
          <w:numId w:val="5"/>
        </w:numPr>
        <w:suppressAutoHyphens/>
        <w:jc w:val="both"/>
      </w:pPr>
      <w:r w:rsidRPr="00CD6DC3">
        <w:rPr>
          <w:b/>
        </w:rPr>
        <w:lastRenderedPageBreak/>
        <w:t>Описание и основные технические характеристики</w:t>
      </w:r>
      <w:r w:rsidR="0026754B">
        <w:rPr>
          <w:b/>
        </w:rPr>
        <w:t>.</w:t>
      </w:r>
      <w:r w:rsidRPr="00CD6DC3">
        <w:rPr>
          <w:b/>
        </w:rPr>
        <w:t xml:space="preserve"> </w:t>
      </w:r>
    </w:p>
    <w:p w:rsidR="0026754B" w:rsidRDefault="0026754B" w:rsidP="0026754B">
      <w:pPr>
        <w:suppressAutoHyphens/>
        <w:jc w:val="both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2084"/>
        <w:gridCol w:w="2620"/>
        <w:gridCol w:w="2002"/>
      </w:tblGrid>
      <w:tr w:rsidR="00C03799" w:rsidTr="00262F03">
        <w:tc>
          <w:tcPr>
            <w:tcW w:w="3091" w:type="dxa"/>
          </w:tcPr>
          <w:p w:rsidR="00C03799" w:rsidRDefault="00C03799" w:rsidP="00C03799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  <w:tc>
          <w:tcPr>
            <w:tcW w:w="2084" w:type="dxa"/>
          </w:tcPr>
          <w:p w:rsidR="00C03799" w:rsidRDefault="00C03799" w:rsidP="00C03799">
            <w:pPr>
              <w:suppressAutoHyphens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Подужемская</w:t>
            </w:r>
            <w:proofErr w:type="spellEnd"/>
            <w:r>
              <w:rPr>
                <w:b/>
              </w:rPr>
              <w:t xml:space="preserve"> ГЭС</w:t>
            </w:r>
          </w:p>
        </w:tc>
        <w:tc>
          <w:tcPr>
            <w:tcW w:w="2620" w:type="dxa"/>
          </w:tcPr>
          <w:p w:rsidR="00C03799" w:rsidRDefault="00C03799" w:rsidP="00262F03">
            <w:pPr>
              <w:suppressAutoHyphens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Кривопорожская</w:t>
            </w:r>
            <w:proofErr w:type="spellEnd"/>
            <w:r>
              <w:rPr>
                <w:b/>
              </w:rPr>
              <w:t xml:space="preserve"> ГЭС</w:t>
            </w:r>
          </w:p>
        </w:tc>
        <w:tc>
          <w:tcPr>
            <w:tcW w:w="2002" w:type="dxa"/>
          </w:tcPr>
          <w:p w:rsidR="00C03799" w:rsidRDefault="00C03799" w:rsidP="00262F03">
            <w:pPr>
              <w:suppressAutoHyphens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Юшкозерская</w:t>
            </w:r>
            <w:proofErr w:type="spellEnd"/>
            <w:r>
              <w:rPr>
                <w:b/>
              </w:rPr>
              <w:t xml:space="preserve"> ГЭС</w:t>
            </w:r>
          </w:p>
        </w:tc>
      </w:tr>
      <w:tr w:rsidR="00C03799" w:rsidTr="00262F03">
        <w:trPr>
          <w:trHeight w:val="2965"/>
        </w:trPr>
        <w:tc>
          <w:tcPr>
            <w:tcW w:w="3091" w:type="dxa"/>
          </w:tcPr>
          <w:p w:rsidR="00C03799" w:rsidRDefault="00C03799" w:rsidP="00C03799">
            <w:pPr>
              <w:suppressAutoHyphens/>
              <w:jc w:val="center"/>
            </w:pPr>
            <w:r w:rsidRPr="00D71DDD">
              <w:t>Номинальные данные гидрогенератор</w:t>
            </w:r>
            <w:r>
              <w:t>ов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</w:rPr>
              <w:t xml:space="preserve">      </w:t>
            </w:r>
            <w:r w:rsidRPr="00D71DDD">
              <w:rPr>
                <w:rFonts w:ascii="Times New Roman" w:hAnsi="Times New Roman"/>
                <w:sz w:val="22"/>
              </w:rPr>
              <w:t xml:space="preserve">       </w:t>
            </w:r>
            <w:r w:rsidRPr="00C03799">
              <w:rPr>
                <w:rFonts w:ascii="Times New Roman" w:hAnsi="Times New Roman"/>
                <w:sz w:val="22"/>
              </w:rPr>
              <w:t xml:space="preserve">  </w:t>
            </w:r>
            <w:r w:rsidRPr="00D71DDD">
              <w:rPr>
                <w:rFonts w:ascii="Times New Roman" w:hAnsi="Times New Roman"/>
                <w:sz w:val="22"/>
              </w:rPr>
              <w:t xml:space="preserve">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мощность полная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7065FC">
              <w:rPr>
                <w:rFonts w:ascii="Times New Roman" w:hAnsi="Times New Roman"/>
                <w:sz w:val="22"/>
              </w:rPr>
              <w:t>кВа</w:t>
            </w:r>
            <w:proofErr w:type="spellEnd"/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мощность активная</w:t>
            </w:r>
            <w:r w:rsidR="007065FC">
              <w:rPr>
                <w:rFonts w:ascii="Times New Roman" w:hAnsi="Times New Roman"/>
                <w:sz w:val="22"/>
              </w:rPr>
              <w:t>, кВт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</w:t>
            </w:r>
            <w:r w:rsidRPr="00C03799">
              <w:rPr>
                <w:rFonts w:ascii="Times New Roman" w:hAnsi="Times New Roman"/>
                <w:sz w:val="22"/>
              </w:rPr>
              <w:t xml:space="preserve"> </w:t>
            </w:r>
            <w:r w:rsidRPr="00D71DDD">
              <w:rPr>
                <w:rFonts w:ascii="Times New Roman" w:hAnsi="Times New Roman"/>
                <w:sz w:val="22"/>
              </w:rPr>
              <w:t xml:space="preserve">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 xml:space="preserve">коэффициент мощности                                                                                </w:t>
            </w:r>
            <w:r w:rsidRPr="00C03799">
              <w:rPr>
                <w:rFonts w:ascii="Times New Roman" w:hAnsi="Times New Roman"/>
                <w:sz w:val="22"/>
              </w:rPr>
              <w:t xml:space="preserve">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напряжение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ток статора</w:t>
            </w:r>
            <w:r w:rsidR="007065FC">
              <w:rPr>
                <w:rFonts w:ascii="Times New Roman" w:hAnsi="Times New Roman"/>
                <w:sz w:val="22"/>
              </w:rPr>
              <w:t>, А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        </w:t>
            </w:r>
            <w:r w:rsidRPr="00C03799">
              <w:rPr>
                <w:rFonts w:ascii="Times New Roman" w:hAnsi="Times New Roman"/>
                <w:sz w:val="22"/>
              </w:rPr>
              <w:t xml:space="preserve">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число оборотов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об</w:t>
            </w:r>
            <w:proofErr w:type="gramEnd"/>
            <w:r w:rsidR="007065FC">
              <w:rPr>
                <w:rFonts w:ascii="Times New Roman" w:hAnsi="Times New Roman"/>
                <w:sz w:val="22"/>
              </w:rPr>
              <w:t>/мин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    </w:t>
            </w:r>
          </w:p>
          <w:p w:rsidR="00C03799" w:rsidRDefault="00C03799" w:rsidP="00C03799">
            <w:pPr>
              <w:pStyle w:val="a5"/>
              <w:jc w:val="both"/>
              <w:rPr>
                <w:b/>
              </w:rPr>
            </w:pPr>
            <w:r w:rsidRPr="00D71DDD">
              <w:rPr>
                <w:rFonts w:ascii="Times New Roman" w:hAnsi="Times New Roman"/>
                <w:sz w:val="22"/>
              </w:rPr>
              <w:t>частота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Гц</w:t>
            </w:r>
            <w:proofErr w:type="gramEnd"/>
          </w:p>
        </w:tc>
        <w:tc>
          <w:tcPr>
            <w:tcW w:w="2084" w:type="dxa"/>
          </w:tcPr>
          <w:p w:rsidR="00C03799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</w:p>
          <w:p w:rsidR="00C03799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</w:p>
          <w:p w:rsidR="00C03799" w:rsidRPr="00C03799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C03799">
              <w:rPr>
                <w:rFonts w:ascii="Times New Roman" w:hAnsi="Times New Roman"/>
                <w:sz w:val="22"/>
              </w:rPr>
              <w:t>ВГС-1040/80-80</w:t>
            </w:r>
          </w:p>
          <w:p w:rsidR="00C03799" w:rsidRPr="00C03799" w:rsidRDefault="00C03799" w:rsidP="00C03799">
            <w:pPr>
              <w:suppressAutoHyphens/>
              <w:jc w:val="center"/>
            </w:pPr>
            <w:r w:rsidRPr="00C03799">
              <w:t>28200</w:t>
            </w:r>
          </w:p>
          <w:p w:rsidR="00C03799" w:rsidRPr="00C03799" w:rsidRDefault="00C03799" w:rsidP="00C03799">
            <w:pPr>
              <w:suppressAutoHyphens/>
              <w:jc w:val="center"/>
            </w:pPr>
            <w:r w:rsidRPr="00C03799">
              <w:t>24000</w:t>
            </w:r>
          </w:p>
          <w:p w:rsidR="00C03799" w:rsidRPr="00C03799" w:rsidRDefault="00C03799" w:rsidP="00C03799">
            <w:pPr>
              <w:suppressAutoHyphens/>
              <w:jc w:val="center"/>
            </w:pPr>
            <w:r w:rsidRPr="00C03799">
              <w:t>0,85</w:t>
            </w:r>
          </w:p>
          <w:p w:rsidR="00C03799" w:rsidRPr="00C03799" w:rsidRDefault="00C03799" w:rsidP="00C03799">
            <w:pPr>
              <w:suppressAutoHyphens/>
              <w:jc w:val="center"/>
            </w:pPr>
            <w:r w:rsidRPr="00C03799">
              <w:t>10500</w:t>
            </w:r>
          </w:p>
          <w:p w:rsidR="00C03799" w:rsidRPr="00C03799" w:rsidRDefault="00C03799" w:rsidP="00C03799">
            <w:pPr>
              <w:suppressAutoHyphens/>
              <w:jc w:val="center"/>
            </w:pPr>
            <w:r w:rsidRPr="00C03799">
              <w:t>1 550</w:t>
            </w:r>
          </w:p>
          <w:p w:rsidR="00C03799" w:rsidRPr="00C03799" w:rsidRDefault="000A177B" w:rsidP="00C03799">
            <w:pPr>
              <w:suppressAutoHyphens/>
              <w:jc w:val="center"/>
            </w:pPr>
            <w:r>
              <w:t>75</w:t>
            </w:r>
          </w:p>
          <w:p w:rsidR="00C03799" w:rsidRPr="00C03799" w:rsidRDefault="000A177B" w:rsidP="00C03799">
            <w:pPr>
              <w:suppressAutoHyphens/>
              <w:jc w:val="center"/>
            </w:pPr>
            <w:r>
              <w:t>50</w:t>
            </w:r>
          </w:p>
          <w:p w:rsidR="00C03799" w:rsidRPr="00C03799" w:rsidRDefault="00C03799" w:rsidP="00C03799">
            <w:pPr>
              <w:suppressAutoHyphens/>
              <w:jc w:val="center"/>
              <w:rPr>
                <w:b/>
              </w:rPr>
            </w:pPr>
          </w:p>
        </w:tc>
        <w:tc>
          <w:tcPr>
            <w:tcW w:w="2620" w:type="dxa"/>
          </w:tcPr>
          <w:p w:rsidR="00C03799" w:rsidRPr="000A177B" w:rsidRDefault="00C03799" w:rsidP="004F599E">
            <w:pPr>
              <w:suppressAutoHyphens/>
              <w:jc w:val="center"/>
            </w:pPr>
          </w:p>
          <w:p w:rsidR="000A177B" w:rsidRPr="000A177B" w:rsidRDefault="000A177B" w:rsidP="004F599E">
            <w:pPr>
              <w:suppressAutoHyphens/>
              <w:jc w:val="center"/>
            </w:pPr>
          </w:p>
          <w:p w:rsidR="000A177B" w:rsidRDefault="000A177B" w:rsidP="004F599E">
            <w:pPr>
              <w:suppressAutoHyphens/>
              <w:jc w:val="center"/>
            </w:pPr>
            <w:r w:rsidRPr="000A177B">
              <w:t>СВ-911/106-44УХЛ-4</w:t>
            </w:r>
          </w:p>
          <w:p w:rsidR="004F599E" w:rsidRDefault="004F599E" w:rsidP="004F599E">
            <w:pPr>
              <w:suppressAutoHyphens/>
              <w:jc w:val="center"/>
            </w:pPr>
            <w:r>
              <w:t>53000</w:t>
            </w:r>
          </w:p>
          <w:p w:rsidR="004F599E" w:rsidRDefault="004F599E" w:rsidP="004F599E">
            <w:pPr>
              <w:suppressAutoHyphens/>
              <w:jc w:val="center"/>
            </w:pPr>
            <w:r>
              <w:t>45000</w:t>
            </w:r>
          </w:p>
          <w:p w:rsidR="004F599E" w:rsidRDefault="004F599E" w:rsidP="004F599E">
            <w:pPr>
              <w:suppressAutoHyphens/>
              <w:jc w:val="center"/>
            </w:pPr>
            <w:r>
              <w:t>0,85</w:t>
            </w:r>
          </w:p>
          <w:p w:rsidR="004F599E" w:rsidRDefault="004F599E" w:rsidP="004F599E">
            <w:pPr>
              <w:suppressAutoHyphens/>
              <w:jc w:val="center"/>
            </w:pPr>
            <w:r>
              <w:t>10500</w:t>
            </w:r>
          </w:p>
          <w:p w:rsidR="004F599E" w:rsidRDefault="004F599E" w:rsidP="004F599E">
            <w:pPr>
              <w:suppressAutoHyphens/>
              <w:jc w:val="center"/>
            </w:pPr>
            <w:r>
              <w:t>2914</w:t>
            </w:r>
          </w:p>
          <w:p w:rsidR="004F599E" w:rsidRDefault="004F599E" w:rsidP="004F599E">
            <w:pPr>
              <w:suppressAutoHyphens/>
              <w:jc w:val="center"/>
            </w:pPr>
            <w:r>
              <w:t>136,4</w:t>
            </w:r>
          </w:p>
          <w:p w:rsidR="004F599E" w:rsidRPr="000A177B" w:rsidRDefault="004F599E" w:rsidP="004F599E">
            <w:pPr>
              <w:suppressAutoHyphens/>
              <w:jc w:val="center"/>
            </w:pPr>
            <w:r>
              <w:t>50</w:t>
            </w:r>
          </w:p>
        </w:tc>
        <w:tc>
          <w:tcPr>
            <w:tcW w:w="2002" w:type="dxa"/>
          </w:tcPr>
          <w:p w:rsidR="00C03799" w:rsidRPr="004F599E" w:rsidRDefault="00C03799" w:rsidP="0026754B">
            <w:pPr>
              <w:suppressAutoHyphens/>
              <w:jc w:val="both"/>
            </w:pPr>
          </w:p>
          <w:p w:rsidR="004F599E" w:rsidRPr="004F599E" w:rsidRDefault="004F599E" w:rsidP="0026754B">
            <w:pPr>
              <w:suppressAutoHyphens/>
              <w:jc w:val="both"/>
            </w:pPr>
          </w:p>
          <w:p w:rsidR="004F599E" w:rsidRDefault="004F599E" w:rsidP="004F599E">
            <w:pPr>
              <w:suppressAutoHyphens/>
              <w:jc w:val="center"/>
            </w:pPr>
            <w:r w:rsidRPr="004F599E">
              <w:t>ВГС-700/69-64</w:t>
            </w:r>
          </w:p>
          <w:p w:rsidR="004F599E" w:rsidRDefault="004F599E" w:rsidP="004F599E">
            <w:pPr>
              <w:suppressAutoHyphens/>
              <w:jc w:val="center"/>
            </w:pPr>
            <w:r>
              <w:t>11250</w:t>
            </w:r>
          </w:p>
          <w:p w:rsidR="004F599E" w:rsidRDefault="004F599E" w:rsidP="004F599E">
            <w:pPr>
              <w:suppressAutoHyphens/>
              <w:jc w:val="center"/>
            </w:pPr>
            <w:r>
              <w:t>9000</w:t>
            </w:r>
          </w:p>
          <w:p w:rsidR="004F599E" w:rsidRDefault="004F599E" w:rsidP="004F599E">
            <w:pPr>
              <w:suppressAutoHyphens/>
              <w:jc w:val="center"/>
            </w:pPr>
            <w:r>
              <w:t>0,85</w:t>
            </w:r>
          </w:p>
          <w:p w:rsidR="004F599E" w:rsidRDefault="004F599E" w:rsidP="004F599E">
            <w:pPr>
              <w:suppressAutoHyphens/>
              <w:jc w:val="center"/>
            </w:pPr>
            <w:r>
              <w:t>6300</w:t>
            </w:r>
          </w:p>
          <w:p w:rsidR="004F599E" w:rsidRDefault="004F599E" w:rsidP="004F599E">
            <w:pPr>
              <w:suppressAutoHyphens/>
              <w:jc w:val="center"/>
            </w:pPr>
            <w:r>
              <w:t>1030</w:t>
            </w:r>
          </w:p>
          <w:p w:rsidR="004F599E" w:rsidRDefault="004F599E" w:rsidP="004F599E">
            <w:pPr>
              <w:suppressAutoHyphens/>
              <w:jc w:val="center"/>
            </w:pPr>
            <w:r>
              <w:t>93,7</w:t>
            </w:r>
          </w:p>
          <w:p w:rsidR="004F599E" w:rsidRDefault="004F599E" w:rsidP="004F599E">
            <w:pPr>
              <w:suppressAutoHyphens/>
              <w:jc w:val="center"/>
            </w:pPr>
            <w:r>
              <w:t>50</w:t>
            </w:r>
          </w:p>
          <w:p w:rsidR="004F599E" w:rsidRPr="004F599E" w:rsidRDefault="004F599E" w:rsidP="004F599E">
            <w:pPr>
              <w:suppressAutoHyphens/>
              <w:jc w:val="center"/>
            </w:pPr>
          </w:p>
        </w:tc>
      </w:tr>
      <w:tr w:rsidR="00C03799" w:rsidTr="00262F03">
        <w:trPr>
          <w:trHeight w:val="2470"/>
        </w:trPr>
        <w:tc>
          <w:tcPr>
            <w:tcW w:w="3091" w:type="dxa"/>
          </w:tcPr>
          <w:p w:rsidR="00C03799" w:rsidRDefault="00C03799" w:rsidP="00C03799">
            <w:pPr>
              <w:suppressAutoHyphens/>
            </w:pPr>
            <w:r w:rsidRPr="00D71DDD">
              <w:t>Номинальные данные гидро</w:t>
            </w:r>
            <w:r>
              <w:t>турбин</w:t>
            </w:r>
          </w:p>
          <w:p w:rsidR="00C03799" w:rsidRDefault="00C03799" w:rsidP="00C03799">
            <w:pPr>
              <w:pStyle w:val="a5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sz w:val="22"/>
              </w:rPr>
              <w:t>Тип</w:t>
            </w:r>
            <w:r>
              <w:rPr>
                <w:rFonts w:ascii="Times New Roman" w:hAnsi="Times New Roman"/>
                <w:i/>
                <w:sz w:val="22"/>
              </w:rPr>
              <w:t xml:space="preserve">                                        </w:t>
            </w:r>
          </w:p>
          <w:p w:rsidR="00C03799" w:rsidRPr="00D71DDD" w:rsidRDefault="00C03799" w:rsidP="00C03799">
            <w:pPr>
              <w:pStyle w:val="a5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Напор максимальный</w:t>
            </w:r>
            <w:proofErr w:type="gramStart"/>
            <w:r w:rsidRPr="00D71DDD">
              <w:rPr>
                <w:rFonts w:ascii="Times New Roman" w:hAnsi="Times New Roman"/>
                <w:sz w:val="22"/>
              </w:rPr>
              <w:t xml:space="preserve"> </w:t>
            </w:r>
            <w:r w:rsidR="007065FC">
              <w:rPr>
                <w:rFonts w:ascii="Times New Roman" w:hAnsi="Times New Roman"/>
                <w:sz w:val="22"/>
              </w:rPr>
              <w:t>,</w:t>
            </w:r>
            <w:proofErr w:type="gramEnd"/>
            <w:r w:rsidR="007065FC">
              <w:rPr>
                <w:rFonts w:ascii="Times New Roman" w:hAnsi="Times New Roman"/>
                <w:sz w:val="22"/>
              </w:rPr>
              <w:t xml:space="preserve"> м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Напор расчетный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м</w:t>
            </w:r>
            <w:proofErr w:type="gramEnd"/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Напор минимальный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м</w:t>
            </w:r>
            <w:proofErr w:type="gramEnd"/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Номинальная мощность</w:t>
            </w:r>
            <w:r w:rsidR="007065FC">
              <w:rPr>
                <w:rFonts w:ascii="Times New Roman" w:hAnsi="Times New Roman"/>
                <w:sz w:val="22"/>
              </w:rPr>
              <w:t>, МВт</w:t>
            </w:r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 xml:space="preserve">Направление вращения турбины                              </w:t>
            </w:r>
          </w:p>
          <w:p w:rsidR="00C03799" w:rsidRPr="00D71DDD" w:rsidRDefault="00C03799" w:rsidP="00C03799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D71DDD">
              <w:rPr>
                <w:rFonts w:ascii="Times New Roman" w:hAnsi="Times New Roman"/>
                <w:sz w:val="22"/>
              </w:rPr>
              <w:t>Расход через турбину</w:t>
            </w:r>
            <w:r w:rsidR="007065FC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7065FC">
              <w:rPr>
                <w:rFonts w:ascii="Times New Roman" w:hAnsi="Times New Roman"/>
                <w:sz w:val="22"/>
              </w:rPr>
              <w:t>м</w:t>
            </w:r>
            <w:proofErr w:type="gramStart"/>
            <w:r w:rsidR="007065FC">
              <w:rPr>
                <w:rFonts w:ascii="Times New Roman" w:hAnsi="Times New Roman"/>
                <w:sz w:val="22"/>
              </w:rPr>
              <w:t>.к</w:t>
            </w:r>
            <w:proofErr w:type="gramEnd"/>
            <w:r w:rsidR="007065FC">
              <w:rPr>
                <w:rFonts w:ascii="Times New Roman" w:hAnsi="Times New Roman"/>
                <w:sz w:val="22"/>
              </w:rPr>
              <w:t>уб</w:t>
            </w:r>
            <w:proofErr w:type="spellEnd"/>
            <w:r w:rsidRPr="00D71DDD">
              <w:rPr>
                <w:rFonts w:ascii="Times New Roman" w:hAnsi="Times New Roman"/>
                <w:sz w:val="22"/>
              </w:rPr>
              <w:t xml:space="preserve">                                       </w:t>
            </w:r>
          </w:p>
          <w:p w:rsidR="00C03799" w:rsidRDefault="00C03799" w:rsidP="007065FC">
            <w:pPr>
              <w:pStyle w:val="a5"/>
              <w:jc w:val="both"/>
              <w:rPr>
                <w:b/>
              </w:rPr>
            </w:pPr>
          </w:p>
        </w:tc>
        <w:tc>
          <w:tcPr>
            <w:tcW w:w="2084" w:type="dxa"/>
          </w:tcPr>
          <w:p w:rsidR="00C03799" w:rsidRPr="004F599E" w:rsidRDefault="00C03799" w:rsidP="00C03799">
            <w:pPr>
              <w:suppressAutoHyphens/>
              <w:jc w:val="center"/>
            </w:pPr>
          </w:p>
          <w:p w:rsidR="004F599E" w:rsidRDefault="004F599E" w:rsidP="00C03799">
            <w:pPr>
              <w:suppressAutoHyphens/>
              <w:jc w:val="center"/>
            </w:pPr>
          </w:p>
          <w:p w:rsidR="004F599E" w:rsidRDefault="004F599E" w:rsidP="00C03799">
            <w:pPr>
              <w:suppressAutoHyphens/>
              <w:jc w:val="center"/>
            </w:pPr>
            <w:r w:rsidRPr="004F599E">
              <w:t>ПЛ-15-661-В-650</w:t>
            </w:r>
          </w:p>
          <w:p w:rsidR="004F599E" w:rsidRDefault="004F599E" w:rsidP="00C03799">
            <w:pPr>
              <w:suppressAutoHyphens/>
              <w:jc w:val="center"/>
            </w:pPr>
            <w:r>
              <w:t>12,5</w:t>
            </w:r>
          </w:p>
          <w:p w:rsidR="004F599E" w:rsidRDefault="004F599E" w:rsidP="00C03799">
            <w:pPr>
              <w:suppressAutoHyphens/>
              <w:jc w:val="center"/>
            </w:pPr>
            <w:r>
              <w:t>10,7</w:t>
            </w:r>
          </w:p>
          <w:p w:rsidR="004F599E" w:rsidRDefault="004F599E" w:rsidP="00C03799">
            <w:pPr>
              <w:suppressAutoHyphens/>
              <w:jc w:val="center"/>
            </w:pPr>
            <w:r>
              <w:t>10,7</w:t>
            </w:r>
          </w:p>
          <w:p w:rsidR="004F599E" w:rsidRDefault="004F599E" w:rsidP="00C03799">
            <w:pPr>
              <w:suppressAutoHyphens/>
              <w:jc w:val="center"/>
            </w:pPr>
            <w:r>
              <w:t xml:space="preserve">24,8 </w:t>
            </w:r>
          </w:p>
          <w:p w:rsidR="004F599E" w:rsidRDefault="004F599E" w:rsidP="00C03799">
            <w:pPr>
              <w:suppressAutoHyphens/>
              <w:jc w:val="center"/>
            </w:pPr>
            <w:r>
              <w:t>Правое</w:t>
            </w:r>
          </w:p>
          <w:p w:rsidR="004F599E" w:rsidRPr="004F599E" w:rsidRDefault="004F599E" w:rsidP="007065FC">
            <w:pPr>
              <w:suppressAutoHyphens/>
              <w:jc w:val="center"/>
            </w:pPr>
            <w:r>
              <w:t>264</w:t>
            </w:r>
          </w:p>
        </w:tc>
        <w:tc>
          <w:tcPr>
            <w:tcW w:w="2620" w:type="dxa"/>
          </w:tcPr>
          <w:p w:rsidR="00C03799" w:rsidRPr="004F599E" w:rsidRDefault="00C03799" w:rsidP="0026754B">
            <w:pPr>
              <w:suppressAutoHyphens/>
              <w:jc w:val="both"/>
            </w:pPr>
          </w:p>
          <w:p w:rsidR="004F599E" w:rsidRPr="004F599E" w:rsidRDefault="004F599E" w:rsidP="0026754B">
            <w:pPr>
              <w:suppressAutoHyphens/>
              <w:jc w:val="both"/>
            </w:pPr>
          </w:p>
          <w:p w:rsidR="004F599E" w:rsidRDefault="004F599E" w:rsidP="004F599E">
            <w:pPr>
              <w:suppressAutoHyphens/>
              <w:jc w:val="center"/>
            </w:pPr>
            <w:r w:rsidRPr="004F599E">
              <w:t>ПЛ-30/800-В-500</w:t>
            </w:r>
          </w:p>
          <w:p w:rsidR="004F599E" w:rsidRDefault="004F599E" w:rsidP="004F599E">
            <w:pPr>
              <w:suppressAutoHyphens/>
              <w:jc w:val="center"/>
            </w:pPr>
            <w:r>
              <w:t>29,9</w:t>
            </w:r>
          </w:p>
          <w:p w:rsidR="004F599E" w:rsidRDefault="004F599E" w:rsidP="004F599E">
            <w:pPr>
              <w:suppressAutoHyphens/>
              <w:jc w:val="center"/>
            </w:pPr>
            <w:r>
              <w:t>26</w:t>
            </w:r>
          </w:p>
          <w:p w:rsidR="004F599E" w:rsidRDefault="004F599E" w:rsidP="004F599E">
            <w:pPr>
              <w:suppressAutoHyphens/>
              <w:jc w:val="center"/>
            </w:pPr>
            <w:r>
              <w:t>25,3</w:t>
            </w:r>
          </w:p>
          <w:p w:rsidR="004F599E" w:rsidRDefault="004F599E" w:rsidP="004F599E">
            <w:pPr>
              <w:suppressAutoHyphens/>
              <w:jc w:val="center"/>
            </w:pPr>
            <w:r>
              <w:t>46,5</w:t>
            </w:r>
          </w:p>
          <w:p w:rsidR="004F599E" w:rsidRDefault="004F599E" w:rsidP="004F599E">
            <w:pPr>
              <w:suppressAutoHyphens/>
              <w:jc w:val="center"/>
            </w:pPr>
            <w:r>
              <w:t>Правое</w:t>
            </w:r>
          </w:p>
          <w:p w:rsidR="004F599E" w:rsidRPr="004F599E" w:rsidRDefault="004F599E" w:rsidP="007065FC">
            <w:pPr>
              <w:suppressAutoHyphens/>
              <w:jc w:val="center"/>
            </w:pPr>
            <w:r>
              <w:t>194</w:t>
            </w:r>
          </w:p>
        </w:tc>
        <w:tc>
          <w:tcPr>
            <w:tcW w:w="2002" w:type="dxa"/>
          </w:tcPr>
          <w:p w:rsidR="00C03799" w:rsidRPr="007065FC" w:rsidRDefault="00C03799" w:rsidP="007065FC">
            <w:pPr>
              <w:suppressAutoHyphens/>
              <w:jc w:val="center"/>
            </w:pPr>
          </w:p>
          <w:p w:rsidR="007065FC" w:rsidRPr="007065FC" w:rsidRDefault="007065FC" w:rsidP="007065FC">
            <w:pPr>
              <w:suppressAutoHyphens/>
              <w:jc w:val="center"/>
            </w:pPr>
          </w:p>
          <w:p w:rsidR="007065FC" w:rsidRDefault="007065FC" w:rsidP="007065FC">
            <w:pPr>
              <w:suppressAutoHyphens/>
              <w:jc w:val="center"/>
            </w:pPr>
            <w:r w:rsidRPr="007065FC">
              <w:t>ПЛ-20/811-В-500</w:t>
            </w:r>
          </w:p>
          <w:p w:rsidR="007065FC" w:rsidRDefault="007065FC" w:rsidP="007065FC">
            <w:pPr>
              <w:suppressAutoHyphens/>
              <w:jc w:val="center"/>
            </w:pPr>
            <w:r>
              <w:t>8,5</w:t>
            </w:r>
          </w:p>
          <w:p w:rsidR="007065FC" w:rsidRDefault="007065FC" w:rsidP="007065FC">
            <w:pPr>
              <w:suppressAutoHyphens/>
              <w:jc w:val="center"/>
            </w:pPr>
            <w:r>
              <w:t>8,2</w:t>
            </w:r>
          </w:p>
          <w:p w:rsidR="007065FC" w:rsidRDefault="007065FC" w:rsidP="007065FC">
            <w:pPr>
              <w:suppressAutoHyphens/>
              <w:jc w:val="center"/>
            </w:pPr>
            <w:r>
              <w:t>9,3</w:t>
            </w:r>
          </w:p>
          <w:p w:rsidR="007065FC" w:rsidRDefault="007065FC" w:rsidP="007065FC">
            <w:pPr>
              <w:suppressAutoHyphens/>
              <w:jc w:val="center"/>
            </w:pPr>
            <w:r>
              <w:t>9,3</w:t>
            </w:r>
          </w:p>
          <w:p w:rsidR="007065FC" w:rsidRDefault="007065FC" w:rsidP="007065FC">
            <w:pPr>
              <w:suppressAutoHyphens/>
              <w:jc w:val="center"/>
            </w:pPr>
            <w:r>
              <w:t>Правое</w:t>
            </w:r>
          </w:p>
          <w:p w:rsidR="007065FC" w:rsidRPr="007065FC" w:rsidRDefault="007065FC" w:rsidP="007065FC">
            <w:pPr>
              <w:suppressAutoHyphens/>
              <w:jc w:val="center"/>
            </w:pPr>
            <w:r>
              <w:t>121</w:t>
            </w:r>
          </w:p>
        </w:tc>
      </w:tr>
    </w:tbl>
    <w:p w:rsidR="00B65B0F" w:rsidRDefault="00B65B0F" w:rsidP="0026754B">
      <w:pPr>
        <w:suppressAutoHyphens/>
        <w:jc w:val="both"/>
        <w:rPr>
          <w:b/>
        </w:rPr>
      </w:pPr>
    </w:p>
    <w:p w:rsidR="007065FC" w:rsidRPr="007065FC" w:rsidRDefault="007065FC" w:rsidP="007065FC">
      <w:pPr>
        <w:jc w:val="both"/>
      </w:pPr>
      <w:r>
        <w:t>При выполнении работ подрядчик должен обеспечить</w:t>
      </w:r>
      <w:r w:rsidRPr="007065FC">
        <w:t>:</w:t>
      </w:r>
    </w:p>
    <w:p w:rsidR="0026754B" w:rsidRPr="00DB5B05" w:rsidRDefault="00DB5B05" w:rsidP="00DB5B05">
      <w:pPr>
        <w:pStyle w:val="a4"/>
        <w:numPr>
          <w:ilvl w:val="0"/>
          <w:numId w:val="10"/>
        </w:numPr>
        <w:jc w:val="both"/>
      </w:pPr>
      <w:r>
        <w:rPr>
          <w:lang w:val="en-US"/>
        </w:rPr>
        <w:t>c</w:t>
      </w:r>
      <w:r w:rsidR="0026754B" w:rsidRPr="0026754B">
        <w:t xml:space="preserve">оставление и согласование с заказчиком  ППР с требованиями ТБ производства работ на действующем  </w:t>
      </w:r>
      <w:proofErr w:type="spellStart"/>
      <w:r w:rsidR="0026754B" w:rsidRPr="0026754B">
        <w:t>энергопредприятии</w:t>
      </w:r>
      <w:proofErr w:type="spellEnd"/>
      <w:r w:rsidRPr="00DB5B05">
        <w:t>;</w:t>
      </w:r>
    </w:p>
    <w:p w:rsidR="00DB5B05" w:rsidRDefault="00DB5B05" w:rsidP="00DB5B05">
      <w:pPr>
        <w:pStyle w:val="a4"/>
        <w:numPr>
          <w:ilvl w:val="0"/>
          <w:numId w:val="10"/>
        </w:numPr>
        <w:jc w:val="both"/>
      </w:pPr>
      <w:r>
        <w:t>о</w:t>
      </w:r>
      <w:r w:rsidRPr="0026754B">
        <w:t>беспечить выполнение работ в соответствии с согласованным графиком работ</w:t>
      </w:r>
      <w:r w:rsidRPr="00DB5B05">
        <w:t>;</w:t>
      </w:r>
    </w:p>
    <w:p w:rsidR="00DB5B05" w:rsidRDefault="00DB5B05" w:rsidP="00DB5B05">
      <w:pPr>
        <w:pStyle w:val="a4"/>
        <w:numPr>
          <w:ilvl w:val="0"/>
          <w:numId w:val="10"/>
        </w:numPr>
        <w:jc w:val="both"/>
      </w:pPr>
      <w:r>
        <w:t>работу</w:t>
      </w:r>
      <w:r w:rsidRPr="0026754B">
        <w:t xml:space="preserve"> сертифицированн</w:t>
      </w:r>
      <w:r>
        <w:t>ым</w:t>
      </w:r>
      <w:r w:rsidRPr="0026754B">
        <w:t xml:space="preserve"> оборудовани</w:t>
      </w:r>
      <w:r>
        <w:t>ем</w:t>
      </w:r>
      <w:r>
        <w:rPr>
          <w:lang w:val="en-US"/>
        </w:rPr>
        <w:t>;</w:t>
      </w:r>
    </w:p>
    <w:p w:rsidR="00DB5B05" w:rsidRPr="0026754B" w:rsidRDefault="00DB5B05" w:rsidP="00DB5B05">
      <w:pPr>
        <w:pStyle w:val="a4"/>
        <w:numPr>
          <w:ilvl w:val="0"/>
          <w:numId w:val="10"/>
        </w:numPr>
        <w:jc w:val="both"/>
      </w:pPr>
      <w:r w:rsidRPr="0026754B">
        <w:t xml:space="preserve">ведение ремонтной, исполнительной  документации с последующей передачей её заказчику. </w:t>
      </w:r>
    </w:p>
    <w:p w:rsidR="004138A6" w:rsidRPr="00AA5BA2" w:rsidRDefault="004138A6" w:rsidP="004138A6">
      <w:pPr>
        <w:suppressAutoHyphens/>
        <w:jc w:val="center"/>
        <w:rPr>
          <w:b/>
        </w:rPr>
      </w:pPr>
    </w:p>
    <w:p w:rsidR="004138A6" w:rsidRPr="00AA5BA2" w:rsidRDefault="004138A6" w:rsidP="004138A6">
      <w:pPr>
        <w:suppressAutoHyphens/>
        <w:jc w:val="center"/>
        <w:rPr>
          <w:b/>
        </w:rPr>
      </w:pPr>
      <w:r w:rsidRPr="00AA5BA2">
        <w:rPr>
          <w:b/>
        </w:rPr>
        <w:t>УКРУПНЕННАЯ ВЕДОМОСТЬ</w:t>
      </w:r>
    </w:p>
    <w:p w:rsidR="004138A6" w:rsidRPr="00AA5BA2" w:rsidRDefault="004138A6" w:rsidP="004138A6">
      <w:pPr>
        <w:suppressAutoHyphens/>
        <w:jc w:val="center"/>
        <w:rPr>
          <w:b/>
        </w:rPr>
      </w:pPr>
      <w:r w:rsidRPr="00AA5BA2">
        <w:rPr>
          <w:b/>
        </w:rPr>
        <w:t>объёмов работ</w:t>
      </w:r>
    </w:p>
    <w:p w:rsidR="00DB5B05" w:rsidRPr="004138A6" w:rsidRDefault="00DB5B05" w:rsidP="00DB5B05">
      <w:pPr>
        <w:shd w:val="clear" w:color="auto" w:fill="FFFFFF"/>
        <w:jc w:val="center"/>
      </w:pPr>
      <w:r>
        <w:t xml:space="preserve">по </w:t>
      </w:r>
      <w:proofErr w:type="spellStart"/>
      <w:r>
        <w:t>в</w:t>
      </w:r>
      <w:r w:rsidRPr="004138A6">
        <w:t>ибродиагностик</w:t>
      </w:r>
      <w:r>
        <w:t>е</w:t>
      </w:r>
      <w:proofErr w:type="spellEnd"/>
      <w:r w:rsidRPr="004138A6">
        <w:t xml:space="preserve"> гидроагрегатов:</w:t>
      </w:r>
      <w:r>
        <w:t xml:space="preserve"> </w:t>
      </w:r>
      <w:r w:rsidRPr="004138A6">
        <w:t xml:space="preserve">Г-1 ГЭС-16 (после </w:t>
      </w:r>
      <w:proofErr w:type="gramStart"/>
      <w:r w:rsidRPr="004138A6">
        <w:t>КР</w:t>
      </w:r>
      <w:proofErr w:type="gramEnd"/>
      <w:r w:rsidRPr="004138A6">
        <w:t>)</w:t>
      </w:r>
      <w:r>
        <w:t>,</w:t>
      </w:r>
      <w:r w:rsidR="0005758E">
        <w:t xml:space="preserve"> </w:t>
      </w:r>
      <w:r w:rsidRPr="004138A6">
        <w:t>Г-1 ГЭС-14 (после КР);</w:t>
      </w:r>
    </w:p>
    <w:p w:rsidR="00DB5B05" w:rsidRPr="004138A6" w:rsidRDefault="00DB5B05" w:rsidP="00DB5B05">
      <w:pPr>
        <w:shd w:val="clear" w:color="auto" w:fill="FFFFFF"/>
        <w:jc w:val="center"/>
      </w:pPr>
      <w:r>
        <w:t>м</w:t>
      </w:r>
      <w:r w:rsidRPr="004138A6">
        <w:t>ежремонтная диагностика:</w:t>
      </w:r>
      <w:r>
        <w:t xml:space="preserve"> </w:t>
      </w:r>
      <w:r w:rsidRPr="004138A6">
        <w:t>Г-2 ГЭС-10, Г-2 ГЭС-16</w:t>
      </w:r>
    </w:p>
    <w:p w:rsidR="00DB5B05" w:rsidRPr="00DB5B05" w:rsidRDefault="00DB5B05" w:rsidP="00DB5B05">
      <w:pPr>
        <w:suppressAutoHyphens/>
        <w:jc w:val="center"/>
      </w:pPr>
      <w:r>
        <w:t xml:space="preserve">Каскад </w:t>
      </w:r>
      <w:proofErr w:type="spellStart"/>
      <w:r>
        <w:t>Кемских</w:t>
      </w:r>
      <w:proofErr w:type="spellEnd"/>
      <w:r>
        <w:t xml:space="preserve"> ГЭС</w:t>
      </w:r>
      <w:r w:rsidRPr="00AA5BA2">
        <w:t xml:space="preserve"> филиала «</w:t>
      </w:r>
      <w:r>
        <w:t>Карельский</w:t>
      </w:r>
      <w:r w:rsidRPr="00AA5BA2">
        <w:t xml:space="preserve"> ОАО «ТГК-1».</w:t>
      </w:r>
    </w:p>
    <w:p w:rsidR="00DB5B05" w:rsidRPr="00DB5B05" w:rsidRDefault="00DB5B05" w:rsidP="004138A6">
      <w:pPr>
        <w:suppressAutoHyphens/>
      </w:pPr>
    </w:p>
    <w:p w:rsidR="004138A6" w:rsidRPr="00AA5BA2" w:rsidRDefault="004138A6" w:rsidP="004138A6">
      <w:pPr>
        <w:suppressAutoHyphens/>
      </w:pPr>
      <w:r w:rsidRPr="00AA5BA2">
        <w:t>Начало                «</w:t>
      </w:r>
      <w:r w:rsidR="00DB5B05" w:rsidRPr="00DB5B05">
        <w:t>1</w:t>
      </w:r>
      <w:r w:rsidRPr="00AA5BA2">
        <w:t xml:space="preserve">» </w:t>
      </w:r>
      <w:r w:rsidR="00DB5B05">
        <w:t xml:space="preserve"> февраля </w:t>
      </w:r>
      <w:r w:rsidRPr="00AA5BA2">
        <w:t xml:space="preserve"> 20</w:t>
      </w:r>
      <w:r w:rsidR="00DB5B05">
        <w:t>1</w:t>
      </w:r>
      <w:r w:rsidR="00453A56">
        <w:t>3</w:t>
      </w:r>
      <w:r w:rsidRPr="00AA5BA2">
        <w:t xml:space="preserve"> г.</w:t>
      </w:r>
    </w:p>
    <w:p w:rsidR="004138A6" w:rsidRDefault="004138A6" w:rsidP="004138A6">
      <w:pPr>
        <w:suppressAutoHyphens/>
      </w:pPr>
      <w:r w:rsidRPr="00AA5BA2">
        <w:t>Окончание          «</w:t>
      </w:r>
      <w:r w:rsidR="00DB5B05">
        <w:t>30</w:t>
      </w:r>
      <w:r w:rsidRPr="00AA5BA2">
        <w:t xml:space="preserve">» </w:t>
      </w:r>
      <w:r w:rsidR="00DB5B05">
        <w:t xml:space="preserve">декабря </w:t>
      </w:r>
      <w:r w:rsidRPr="00AA5BA2">
        <w:t xml:space="preserve"> 20</w:t>
      </w:r>
      <w:r w:rsidR="00DB5B05">
        <w:t>1</w:t>
      </w:r>
      <w:r w:rsidR="00453A56">
        <w:t>3</w:t>
      </w:r>
      <w:r w:rsidRPr="00AA5BA2">
        <w:t xml:space="preserve"> г.</w:t>
      </w:r>
    </w:p>
    <w:p w:rsidR="00DE67F7" w:rsidRDefault="00DE67F7" w:rsidP="004138A6">
      <w:pPr>
        <w:suppressAutoHyphens/>
      </w:pPr>
    </w:p>
    <w:tbl>
      <w:tblPr>
        <w:tblW w:w="103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5973"/>
        <w:gridCol w:w="1134"/>
        <w:gridCol w:w="851"/>
        <w:gridCol w:w="1558"/>
      </w:tblGrid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Исполнитель</w:t>
            </w:r>
          </w:p>
        </w:tc>
      </w:tr>
      <w:tr w:rsidR="00DE67F7" w:rsidTr="00DE67F7"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5E47FB" w:rsidRDefault="00DE67F7" w:rsidP="00DE67F7">
            <w:pPr>
              <w:jc w:val="center"/>
              <w:rPr>
                <w:b/>
              </w:rPr>
            </w:pPr>
            <w:r w:rsidRPr="005E47FB">
              <w:rPr>
                <w:b/>
              </w:rPr>
              <w:t>Статорные испытания: режимы работы Г/А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59038F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Режим х/х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 xml:space="preserve">/а без возбуждения </w:t>
            </w:r>
            <w:r>
              <w:t>с номинальной частотой вращения вала.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Pr="00742060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5E47FB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Холостой ход с возбуждением, при </w:t>
            </w:r>
            <w:r>
              <w:rPr>
                <w:bCs/>
                <w:lang w:val="en-US"/>
              </w:rPr>
              <w:t>Up</w:t>
            </w:r>
            <w:r>
              <w:rPr>
                <w:bCs/>
              </w:rPr>
              <w:t xml:space="preserve"> = 100 % </w:t>
            </w:r>
            <w:proofErr w:type="gramStart"/>
            <w:r>
              <w:rPr>
                <w:bCs/>
                <w:lang w:val="en-US"/>
              </w:rPr>
              <w:t>U</w:t>
            </w:r>
            <w:proofErr w:type="gramEnd"/>
            <w:r>
              <w:rPr>
                <w:bCs/>
              </w:rPr>
              <w:t>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Pr="00742060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Работа генератора в параллель с сетью при </w:t>
            </w:r>
            <w:proofErr w:type="spellStart"/>
            <w:r>
              <w:rPr>
                <w:bCs/>
                <w:lang w:val="en-US"/>
              </w:rPr>
              <w:t>Pp</w:t>
            </w:r>
            <w:proofErr w:type="spellEnd"/>
            <w:r>
              <w:rPr>
                <w:bCs/>
              </w:rPr>
              <w:t>=4,8,12,16,20,24 МВт</w:t>
            </w:r>
            <w:r w:rsidR="00235C1B">
              <w:rPr>
                <w:bCs/>
              </w:rPr>
              <w:t xml:space="preserve"> (Г/А ГЭС-10)</w:t>
            </w:r>
          </w:p>
          <w:p w:rsidR="00235C1B" w:rsidRDefault="00235C1B" w:rsidP="00DE67F7">
            <w:pPr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Pp</w:t>
            </w:r>
            <w:proofErr w:type="spellEnd"/>
            <w:r>
              <w:rPr>
                <w:bCs/>
              </w:rPr>
              <w:t>=4,8,12,16,20,24,28,32,36,40,44,45 МВт ( Г/АГЭС-14)</w:t>
            </w:r>
          </w:p>
          <w:p w:rsidR="00235C1B" w:rsidRPr="005E47FB" w:rsidRDefault="00235C1B" w:rsidP="00DE67F7">
            <w:pPr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Pp</w:t>
            </w:r>
            <w:proofErr w:type="spellEnd"/>
            <w:r>
              <w:rPr>
                <w:bCs/>
              </w:rPr>
              <w:t>=2,4,6,8,</w:t>
            </w:r>
            <w:r w:rsidRPr="00235C1B">
              <w:rPr>
                <w:bCs/>
              </w:rPr>
              <w:t xml:space="preserve"> </w:t>
            </w:r>
            <w:r>
              <w:rPr>
                <w:bCs/>
              </w:rPr>
              <w:t>9,5 МВт (Г/А ГЭС-16)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Pr="00742060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5E47FB" w:rsidRDefault="00DE67F7" w:rsidP="00DE67F7">
            <w:pPr>
              <w:jc w:val="center"/>
              <w:rPr>
                <w:b/>
              </w:rPr>
            </w:pPr>
            <w:proofErr w:type="spellStart"/>
            <w:r w:rsidRPr="005E47FB">
              <w:rPr>
                <w:b/>
              </w:rPr>
              <w:t>Виброиспытания</w:t>
            </w:r>
            <w:proofErr w:type="spellEnd"/>
            <w:r w:rsidRPr="005E47FB">
              <w:rPr>
                <w:b/>
              </w:rPr>
              <w:t xml:space="preserve"> опорных конструкций Г/А и биение вала: режимы работы 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20122D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Холостой ход без возбуждения, при </w:t>
            </w:r>
            <w:proofErr w:type="spellStart"/>
            <w:r>
              <w:rPr>
                <w:bCs/>
                <w:lang w:val="en-US"/>
              </w:rPr>
              <w:t>Np</w:t>
            </w:r>
            <w:proofErr w:type="spellEnd"/>
            <w:r>
              <w:rPr>
                <w:bCs/>
              </w:rPr>
              <w:t>=70</w:t>
            </w:r>
            <w:r w:rsidRPr="0020122D">
              <w:rPr>
                <w:bCs/>
              </w:rPr>
              <w:t xml:space="preserve">;80;90;100;110 % </w:t>
            </w:r>
            <w:r>
              <w:rPr>
                <w:bCs/>
              </w:rPr>
              <w:t>от</w:t>
            </w:r>
            <w:r w:rsidRPr="0020122D">
              <w:rPr>
                <w:bCs/>
              </w:rPr>
              <w:t xml:space="preserve"> </w:t>
            </w:r>
            <w:proofErr w:type="gramStart"/>
            <w:r>
              <w:rPr>
                <w:bCs/>
                <w:lang w:val="en-US"/>
              </w:rPr>
              <w:t>N</w:t>
            </w:r>
            <w:proofErr w:type="gramEnd"/>
            <w:r>
              <w:rPr>
                <w:bCs/>
              </w:rPr>
              <w:t>ном.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lastRenderedPageBreak/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20122D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Холостой ход с возбуждением, при </w:t>
            </w:r>
            <w:r>
              <w:rPr>
                <w:bCs/>
                <w:lang w:val="en-US"/>
              </w:rPr>
              <w:t>Up</w:t>
            </w:r>
            <w:r>
              <w:rPr>
                <w:bCs/>
              </w:rPr>
              <w:t>= 100%ном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Генераторные режимы, при </w:t>
            </w:r>
            <w:proofErr w:type="spellStart"/>
            <w:r w:rsidR="00235C1B">
              <w:rPr>
                <w:bCs/>
                <w:lang w:val="en-US"/>
              </w:rPr>
              <w:t>P</w:t>
            </w:r>
            <w:r>
              <w:rPr>
                <w:bCs/>
                <w:lang w:val="en-US"/>
              </w:rPr>
              <w:t>p</w:t>
            </w:r>
            <w:proofErr w:type="spellEnd"/>
            <w:r>
              <w:rPr>
                <w:bCs/>
              </w:rPr>
              <w:t>=2,4,6,8,10,12,14,16,18,20,22,24 МВт</w:t>
            </w:r>
            <w:r w:rsidR="00235C1B">
              <w:rPr>
                <w:bCs/>
              </w:rPr>
              <w:t xml:space="preserve"> (ГЭС-10)</w:t>
            </w:r>
          </w:p>
          <w:p w:rsidR="00235C1B" w:rsidRDefault="00235C1B" w:rsidP="00235C1B">
            <w:pPr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Pp</w:t>
            </w:r>
            <w:proofErr w:type="spellEnd"/>
            <w:r>
              <w:rPr>
                <w:bCs/>
              </w:rPr>
              <w:t>=</w:t>
            </w:r>
            <w:r w:rsidRPr="00235C1B">
              <w:rPr>
                <w:bCs/>
              </w:rPr>
              <w:t>2</w:t>
            </w:r>
            <w:r>
              <w:rPr>
                <w:bCs/>
              </w:rPr>
              <w:t>,4,6,8,10,12,14,16,18,20,22,24,26,28,30,32,34,36,38,40,42,44,45 МВт ( Г/АГЭС-14)</w:t>
            </w:r>
          </w:p>
          <w:p w:rsidR="00235C1B" w:rsidRPr="0020122D" w:rsidRDefault="00235C1B" w:rsidP="00235C1B">
            <w:pPr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Pp</w:t>
            </w:r>
            <w:proofErr w:type="spellEnd"/>
            <w:r>
              <w:rPr>
                <w:bCs/>
              </w:rPr>
              <w:t>=1,2,3,4,5,6,7,8,9,5 (Г/А ГЭС-16)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Выбег из режима холостого 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Обследуемые узлы Г/А в различных режимах работы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1.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Измерение уровня вибрации железа статора, определение электромагнитной формы ротора.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2.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Измерение уровня вибрации </w:t>
            </w:r>
            <w:proofErr w:type="spellStart"/>
            <w:r>
              <w:rPr>
                <w:bCs/>
              </w:rPr>
              <w:t>маслованны</w:t>
            </w:r>
            <w:proofErr w:type="spellEnd"/>
            <w:r>
              <w:rPr>
                <w:bCs/>
              </w:rPr>
              <w:t xml:space="preserve"> подпятника (радиальная, вертикальная вибрация)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3.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Измерение уровня вибрации корпуса турбинного подшипника (радиальная вибрация)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4.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Измерение уровня вибрации крышки турбины (вертикальная вибрация)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5.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Измерение уровня биения вала в зоне генераторного подшипника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6.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Измерение уровня биения вала в зоне турбинного подшипника.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 xml:space="preserve">Оформление отчетных документов по </w:t>
            </w:r>
            <w:proofErr w:type="spellStart"/>
            <w:r>
              <w:rPr>
                <w:bCs/>
              </w:rPr>
              <w:t>виброиспытаниям</w:t>
            </w:r>
            <w:proofErr w:type="spellEnd"/>
            <w:r>
              <w:rPr>
                <w:bCs/>
              </w:rPr>
              <w:t xml:space="preserve"> гидроагрегата. Передача заказчику программных файлов результатов замеров, отчетных документов с выводами и рекомендациями на бумажном носителе в 2 экземплярах, и в электронном виде.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</w:p>
        </w:tc>
      </w:tr>
      <w:tr w:rsidR="00DE67F7" w:rsidTr="00DE67F7"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Pr="005653AC" w:rsidRDefault="00DE67F7" w:rsidP="00DE67F7">
            <w:pPr>
              <w:jc w:val="center"/>
              <w:rPr>
                <w:b/>
              </w:rPr>
            </w:pPr>
            <w:r w:rsidRPr="005653AC">
              <w:rPr>
                <w:b/>
              </w:rPr>
              <w:t>Испытание  статора гидроагрегата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1.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Проведение специальных высоковольтных испытаний изоляции обмотки статора с измерением частичных разрядов (ЧР) по пазам статора для оценки состояния изоляции и системы крепления обмотки.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  <w: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  <w:tr w:rsidR="00DE67F7" w:rsidTr="00DE67F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rPr>
                <w:bCs/>
              </w:rPr>
            </w:pPr>
            <w:r>
              <w:rPr>
                <w:bCs/>
              </w:rPr>
              <w:t>Оформление отчетных документов по испытаниям статора гидроагрегата. Передача отчетных документов заказчику на бумажном носителе в 2 экземплярах, и в электронном виде.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67F7" w:rsidRDefault="00DE67F7" w:rsidP="00DE67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F7" w:rsidRDefault="00DE67F7" w:rsidP="00DE67F7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7F7" w:rsidRDefault="00DE67F7" w:rsidP="00DE67F7">
            <w:pPr>
              <w:jc w:val="center"/>
            </w:pPr>
            <w:r>
              <w:t>подрядчик</w:t>
            </w:r>
          </w:p>
        </w:tc>
      </w:tr>
    </w:tbl>
    <w:p w:rsidR="00DE67F7" w:rsidRPr="00AA5BA2" w:rsidRDefault="00DE67F7" w:rsidP="004138A6">
      <w:pPr>
        <w:suppressAutoHyphens/>
      </w:pPr>
    </w:p>
    <w:p w:rsidR="004138A6" w:rsidRPr="00AA5BA2" w:rsidRDefault="004138A6" w:rsidP="004138A6">
      <w:pPr>
        <w:suppressAutoHyphens/>
        <w:rPr>
          <w:sz w:val="16"/>
          <w:szCs w:val="16"/>
        </w:rPr>
      </w:pPr>
    </w:p>
    <w:p w:rsidR="004138A6" w:rsidRPr="00AA5BA2" w:rsidRDefault="004138A6" w:rsidP="00DE67F7">
      <w:pPr>
        <w:jc w:val="center"/>
        <w:rPr>
          <w:b/>
        </w:rPr>
      </w:pPr>
      <w:r w:rsidRPr="00AA5BA2">
        <w:rPr>
          <w:b/>
        </w:rPr>
        <w:t>Особые условия.</w:t>
      </w:r>
    </w:p>
    <w:p w:rsidR="004138A6" w:rsidRPr="00290058" w:rsidRDefault="004138A6" w:rsidP="004138A6">
      <w:pPr>
        <w:suppressAutoHyphens/>
        <w:jc w:val="center"/>
      </w:pPr>
      <w:r w:rsidRPr="00AA5BA2">
        <w:t>Производство работ и требования к пер</w:t>
      </w:r>
      <w:r w:rsidR="00C07AE0">
        <w:t xml:space="preserve">соналу подрядной организации на </w:t>
      </w:r>
      <w:r w:rsidR="00290058">
        <w:t xml:space="preserve">выполнение работ по </w:t>
      </w:r>
      <w:proofErr w:type="spellStart"/>
      <w:r w:rsidR="00290058">
        <w:t>вибродиагностике</w:t>
      </w:r>
      <w:proofErr w:type="spellEnd"/>
      <w:r w:rsidR="00290058">
        <w:t xml:space="preserve"> гидроагрегатов Каскада </w:t>
      </w:r>
      <w:proofErr w:type="spellStart"/>
      <w:r w:rsidR="00290058">
        <w:t>Кемских</w:t>
      </w:r>
      <w:proofErr w:type="spellEnd"/>
      <w:r w:rsidR="00290058">
        <w:t xml:space="preserve"> ГЭС.</w:t>
      </w:r>
    </w:p>
    <w:p w:rsidR="004138A6" w:rsidRPr="00AA5BA2" w:rsidRDefault="004138A6" w:rsidP="004138A6">
      <w:pPr>
        <w:suppressAutoHyphens/>
        <w:jc w:val="center"/>
      </w:pPr>
    </w:p>
    <w:p w:rsidR="004138A6" w:rsidRPr="00AA5BA2" w:rsidRDefault="004138A6" w:rsidP="004138A6">
      <w:pPr>
        <w:suppressAutoHyphens/>
        <w:jc w:val="both"/>
        <w:rPr>
          <w:b/>
        </w:rPr>
      </w:pPr>
      <w:r w:rsidRPr="00AA5BA2">
        <w:rPr>
          <w:b/>
        </w:rPr>
        <w:t>Выполнение требований:</w:t>
      </w:r>
    </w:p>
    <w:p w:rsidR="004138A6" w:rsidRPr="008D531B" w:rsidRDefault="004138A6" w:rsidP="008D531B">
      <w:pPr>
        <w:pStyle w:val="a4"/>
        <w:numPr>
          <w:ilvl w:val="0"/>
          <w:numId w:val="12"/>
        </w:numPr>
        <w:suppressAutoHyphens/>
        <w:spacing w:line="216" w:lineRule="auto"/>
        <w:ind w:left="0" w:firstLine="0"/>
        <w:jc w:val="both"/>
        <w:rPr>
          <w:b/>
        </w:rPr>
      </w:pPr>
      <w:r w:rsidRPr="008D531B">
        <w:rPr>
          <w:b/>
        </w:rPr>
        <w:t>Требования к производству и качеству работ:</w:t>
      </w:r>
    </w:p>
    <w:p w:rsidR="00DE67F7" w:rsidRPr="00DE67F7" w:rsidRDefault="00DE67F7" w:rsidP="00DE67F7">
      <w:pPr>
        <w:jc w:val="both"/>
        <w:rPr>
          <w:szCs w:val="20"/>
        </w:rPr>
      </w:pPr>
      <w:r w:rsidRPr="00DE67F7">
        <w:rPr>
          <w:szCs w:val="20"/>
        </w:rPr>
        <w:t>Выполнение требований:</w:t>
      </w:r>
    </w:p>
    <w:p w:rsidR="00DE67F7" w:rsidRPr="00DE67F7" w:rsidRDefault="00DE67F7" w:rsidP="00DE67F7">
      <w:pPr>
        <w:numPr>
          <w:ilvl w:val="1"/>
          <w:numId w:val="11"/>
        </w:numPr>
        <w:jc w:val="both"/>
      </w:pPr>
      <w:r w:rsidRPr="00DE67F7">
        <w:t>СО 153- 34.03.150-2003 (РД 153-34.0-03.150-00)</w:t>
      </w:r>
      <w:r w:rsidRPr="00DE67F7">
        <w:rPr>
          <w:b/>
        </w:rPr>
        <w:t xml:space="preserve"> </w:t>
      </w:r>
      <w:r w:rsidRPr="00DE67F7"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DE67F7" w:rsidRPr="00DE67F7" w:rsidRDefault="00DE67F7" w:rsidP="00DE67F7">
      <w:pPr>
        <w:ind w:firstLine="284"/>
        <w:jc w:val="both"/>
      </w:pPr>
      <w:r w:rsidRPr="00DE67F7">
        <w:t xml:space="preserve">РД 34.31.300-96 Методические указания по эксплуатационному контролю вибрационного состояния конструктивных узлов гидроагрегатов. </w:t>
      </w:r>
    </w:p>
    <w:p w:rsidR="00DE67F7" w:rsidRPr="00DE67F7" w:rsidRDefault="00DE67F7" w:rsidP="00DE67F7">
      <w:pPr>
        <w:ind w:firstLine="284"/>
        <w:jc w:val="both"/>
      </w:pPr>
      <w:r w:rsidRPr="00DE67F7">
        <w:t>СО 34.04.181-2003 Правил организации технического обслуживания и ремонта оборудования, зданий и сооружений эл. станций и сетей.</w:t>
      </w:r>
    </w:p>
    <w:p w:rsidR="00DE67F7" w:rsidRPr="00DE67F7" w:rsidRDefault="00DE67F7" w:rsidP="00DE67F7">
      <w:pPr>
        <w:numPr>
          <w:ilvl w:val="1"/>
          <w:numId w:val="11"/>
        </w:numPr>
        <w:jc w:val="both"/>
      </w:pPr>
      <w:r w:rsidRPr="00DE67F7">
        <w:t>СО 34.03.301-00 (РД 153-34.0-03.301-00). Правила пожарной безопасности для энергетических предприятий.</w:t>
      </w:r>
    </w:p>
    <w:p w:rsidR="00DE67F7" w:rsidRPr="00DE67F7" w:rsidRDefault="00DE67F7" w:rsidP="00DE67F7">
      <w:pPr>
        <w:numPr>
          <w:ilvl w:val="1"/>
          <w:numId w:val="11"/>
        </w:numPr>
        <w:jc w:val="both"/>
      </w:pPr>
      <w:r w:rsidRPr="00DE67F7">
        <w:rPr>
          <w:szCs w:val="20"/>
        </w:rPr>
        <w:t xml:space="preserve"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</w:t>
      </w:r>
      <w:r w:rsidRPr="00DE67F7">
        <w:rPr>
          <w:szCs w:val="20"/>
        </w:rPr>
        <w:lastRenderedPageBreak/>
        <w:t>строительства и требования, предъявляемые к актам освидетельствования работ, конструкций, участков сетей инженерно-технического обеспечения</w:t>
      </w:r>
    </w:p>
    <w:p w:rsidR="00DE67F7" w:rsidRPr="00DE67F7" w:rsidRDefault="00DE67F7" w:rsidP="00DE67F7">
      <w:pPr>
        <w:numPr>
          <w:ilvl w:val="1"/>
          <w:numId w:val="11"/>
        </w:numPr>
        <w:jc w:val="both"/>
      </w:pPr>
      <w:r w:rsidRPr="00DE67F7">
        <w:rPr>
          <w:szCs w:val="20"/>
        </w:rPr>
        <w:t>«Объём и нормы испытаний электрооборудования» РД 34.45-51.300-97.</w:t>
      </w:r>
      <w:r w:rsidRPr="00DE67F7">
        <w:t xml:space="preserve"> </w:t>
      </w:r>
      <w:r w:rsidRPr="00DE67F7">
        <w:rPr>
          <w:szCs w:val="20"/>
        </w:rPr>
        <w:t xml:space="preserve"> </w:t>
      </w:r>
    </w:p>
    <w:p w:rsidR="00DE67F7" w:rsidRPr="00DE67F7" w:rsidRDefault="00DE67F7" w:rsidP="00DE67F7">
      <w:pPr>
        <w:numPr>
          <w:ilvl w:val="1"/>
          <w:numId w:val="11"/>
        </w:numPr>
        <w:jc w:val="both"/>
      </w:pPr>
      <w:r w:rsidRPr="00DE67F7">
        <w:rPr>
          <w:szCs w:val="20"/>
        </w:rPr>
        <w:t>СТО 17330282.27.140.001-2006 Методика оценки технического состояния основного оборудования гидроэлектростанций.</w:t>
      </w:r>
    </w:p>
    <w:p w:rsidR="004138A6" w:rsidRPr="00AA5BA2" w:rsidRDefault="004138A6" w:rsidP="004138A6">
      <w:pPr>
        <w:suppressAutoHyphens/>
        <w:spacing w:line="216" w:lineRule="auto"/>
        <w:jc w:val="both"/>
        <w:rPr>
          <w:b/>
        </w:rPr>
      </w:pPr>
    </w:p>
    <w:p w:rsidR="004138A6" w:rsidRPr="00AA5BA2" w:rsidRDefault="008D531B" w:rsidP="004138A6">
      <w:pPr>
        <w:suppressAutoHyphens/>
        <w:spacing w:line="216" w:lineRule="auto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r w:rsidR="004138A6" w:rsidRPr="00AA5BA2">
        <w:rPr>
          <w:b/>
        </w:rPr>
        <w:t>Требования к подрядной организации:</w:t>
      </w:r>
    </w:p>
    <w:p w:rsidR="00DE67F7" w:rsidRDefault="00DE67F7" w:rsidP="004138A6">
      <w:pPr>
        <w:suppressAutoHyphens/>
        <w:spacing w:line="216" w:lineRule="auto"/>
        <w:jc w:val="both"/>
      </w:pPr>
      <w:bookmarkStart w:id="0" w:name="_Toc154808868"/>
      <w:bookmarkStart w:id="1" w:name="_Toc154810998"/>
      <w:bookmarkStart w:id="2" w:name="_Toc154983026"/>
      <w:bookmarkStart w:id="3" w:name="_Toc157941946"/>
      <w:bookmarkStart w:id="4" w:name="_Toc159385167"/>
    </w:p>
    <w:p w:rsidR="004138A6" w:rsidRPr="00DE67F7" w:rsidRDefault="004138A6" w:rsidP="008D531B">
      <w:pPr>
        <w:pStyle w:val="a4"/>
        <w:numPr>
          <w:ilvl w:val="1"/>
          <w:numId w:val="5"/>
        </w:numPr>
        <w:suppressAutoHyphens/>
        <w:spacing w:line="216" w:lineRule="auto"/>
        <w:ind w:left="0" w:firstLine="0"/>
        <w:jc w:val="both"/>
        <w:rPr>
          <w:b/>
        </w:rPr>
      </w:pPr>
      <w:r w:rsidRPr="00DE67F7">
        <w:rPr>
          <w:b/>
        </w:rPr>
        <w:t>Общие требования</w:t>
      </w:r>
      <w:bookmarkEnd w:id="0"/>
      <w:bookmarkEnd w:id="1"/>
      <w:bookmarkEnd w:id="2"/>
      <w:bookmarkEnd w:id="3"/>
      <w:bookmarkEnd w:id="4"/>
      <w:r w:rsidRPr="00DE67F7">
        <w:rPr>
          <w:b/>
        </w:rPr>
        <w:t>:</w:t>
      </w:r>
    </w:p>
    <w:p w:rsidR="00DE67F7" w:rsidRPr="00DE67F7" w:rsidRDefault="00DE67F7" w:rsidP="00DE67F7">
      <w:pPr>
        <w:pStyle w:val="a4"/>
        <w:suppressAutoHyphens/>
        <w:spacing w:line="216" w:lineRule="auto"/>
        <w:jc w:val="both"/>
        <w:rPr>
          <w:b/>
        </w:rPr>
      </w:pPr>
    </w:p>
    <w:p w:rsidR="004138A6" w:rsidRPr="00DE67F7" w:rsidRDefault="004138A6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DE67F7">
        <w:t xml:space="preserve">опыт работы по </w:t>
      </w:r>
      <w:r w:rsidR="00DE67F7" w:rsidRPr="00DE67F7">
        <w:t xml:space="preserve">проведению </w:t>
      </w:r>
      <w:proofErr w:type="spellStart"/>
      <w:r w:rsidR="00DE67F7" w:rsidRPr="00DE67F7">
        <w:t>виброиспытаний</w:t>
      </w:r>
      <w:proofErr w:type="spellEnd"/>
      <w:r w:rsidRPr="00DE67F7">
        <w:t xml:space="preserve"> не менее 5 лет;</w:t>
      </w:r>
    </w:p>
    <w:p w:rsidR="004138A6" w:rsidRPr="00DE67F7" w:rsidRDefault="00A422ED" w:rsidP="00A422ED">
      <w:pPr>
        <w:suppressAutoHyphens/>
        <w:spacing w:line="216" w:lineRule="auto"/>
        <w:ind w:left="284" w:hanging="284"/>
        <w:jc w:val="both"/>
      </w:pPr>
      <w:r>
        <w:t>-</w:t>
      </w:r>
      <w:r>
        <w:tab/>
      </w:r>
      <w:r w:rsidR="004138A6" w:rsidRPr="00DE67F7">
        <w:t>обеспечить соответствие сметной документации требо</w:t>
      </w:r>
      <w:r w:rsidR="00037E47">
        <w:t xml:space="preserve">ваниям системы ценообразования, </w:t>
      </w:r>
      <w:r w:rsidR="004138A6" w:rsidRPr="00DE67F7">
        <w:t>принятой в ОАО «ТГК-1»;</w:t>
      </w:r>
    </w:p>
    <w:p w:rsidR="004138A6" w:rsidRPr="00DE67F7" w:rsidRDefault="004138A6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DE67F7">
        <w:t>обеспечить соответствие применяем</w:t>
      </w:r>
      <w:r w:rsidR="00DE67F7" w:rsidRPr="00DE67F7">
        <w:t>ого оборудования</w:t>
      </w:r>
      <w:r w:rsidRPr="00DE67F7">
        <w:t xml:space="preserve"> требованиям ГОСТ и ТУ и наличие сертификатов, удостоверяющих их качество;</w:t>
      </w:r>
    </w:p>
    <w:p w:rsidR="004138A6" w:rsidRPr="00DE67F7" w:rsidRDefault="00211CBA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r>
        <w:t xml:space="preserve">работники подрядчика </w:t>
      </w:r>
      <w:r w:rsidR="004138A6" w:rsidRPr="00DE67F7">
        <w:t>должны быть ознакомлены с Экологической политикой ОА</w:t>
      </w:r>
      <w:r>
        <w:t>О «ТГК-1», подрядчик</w:t>
      </w:r>
      <w:r w:rsidR="004138A6" w:rsidRPr="00DE67F7">
        <w:t xml:space="preserve"> должен принимать необходимые меры по соблюдению обязательств этой политики в рамках деяте</w:t>
      </w:r>
      <w:r w:rsidR="0065700B">
        <w:t xml:space="preserve">льности, определенной </w:t>
      </w:r>
      <w:r w:rsidR="004138A6" w:rsidRPr="00DE67F7">
        <w:t>договором;</w:t>
      </w:r>
    </w:p>
    <w:p w:rsidR="004138A6" w:rsidRPr="00DE67F7" w:rsidRDefault="004138A6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proofErr w:type="gramStart"/>
      <w:r w:rsidRPr="00DE67F7">
        <w:t>подрядчик обязан соблюдать требования СЭМ ОАО «ТГК-1» по управлению значимыми экологическими аспектами в рамках деяте</w:t>
      </w:r>
      <w:r w:rsidR="009D722E">
        <w:t xml:space="preserve">льности, определенной </w:t>
      </w:r>
      <w:r w:rsidRPr="00DE67F7">
        <w:t>договором (пункт включается в договор в случае, если деятельность подрядчика связана со значимыми экологическими аспектами.</w:t>
      </w:r>
      <w:proofErr w:type="gramEnd"/>
      <w:r w:rsidRPr="00DE67F7">
        <w:t xml:space="preserve"> </w:t>
      </w:r>
      <w:proofErr w:type="gramStart"/>
      <w:r w:rsidRPr="00DE67F7">
        <w:t>Например: образование, сбор, вывоз и размещение строительно-промышленных отходов, других отходов I-IV классов опасности, а также других значимых экологических аспектов);</w:t>
      </w:r>
      <w:proofErr w:type="gramEnd"/>
    </w:p>
    <w:p w:rsidR="004138A6" w:rsidRPr="00DE67F7" w:rsidRDefault="004138A6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DE67F7">
        <w:t>подрядчик несет ответственность за соблюдение требований природоохранного законодательства Российской Федерации и СЭМ ОАО «ТГК-1»;</w:t>
      </w:r>
    </w:p>
    <w:p w:rsidR="004138A6" w:rsidRPr="00DE67F7" w:rsidRDefault="004138A6" w:rsidP="004138A6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DE67F7">
        <w:t>акты сдачи - приемки могут быть подписаны Заказчиком при условии выполнения подрядчиком указанных выше требований.</w:t>
      </w:r>
    </w:p>
    <w:p w:rsidR="004138A6" w:rsidRPr="00AA5BA2" w:rsidRDefault="004138A6" w:rsidP="004138A6">
      <w:pPr>
        <w:suppressAutoHyphens/>
        <w:spacing w:line="216" w:lineRule="auto"/>
        <w:ind w:left="425"/>
        <w:jc w:val="both"/>
        <w:rPr>
          <w:i/>
        </w:rPr>
      </w:pPr>
    </w:p>
    <w:p w:rsidR="004138A6" w:rsidRPr="008D531B" w:rsidRDefault="004138A6" w:rsidP="008D531B">
      <w:pPr>
        <w:pStyle w:val="a4"/>
        <w:numPr>
          <w:ilvl w:val="1"/>
          <w:numId w:val="5"/>
        </w:numPr>
        <w:suppressAutoHyphens/>
        <w:spacing w:line="216" w:lineRule="auto"/>
        <w:ind w:left="0" w:firstLine="0"/>
        <w:jc w:val="both"/>
        <w:rPr>
          <w:b/>
        </w:rPr>
      </w:pPr>
      <w:bookmarkStart w:id="5" w:name="_Toc154808869"/>
      <w:bookmarkStart w:id="6" w:name="_Toc154810999"/>
      <w:bookmarkStart w:id="7" w:name="_Toc154983027"/>
      <w:bookmarkStart w:id="8" w:name="_Toc157941947"/>
      <w:bookmarkStart w:id="9" w:name="_Toc159385168"/>
      <w:r w:rsidRPr="008D531B">
        <w:rPr>
          <w:b/>
        </w:rPr>
        <w:t>Специальные требования</w:t>
      </w:r>
      <w:bookmarkEnd w:id="5"/>
      <w:bookmarkEnd w:id="6"/>
      <w:bookmarkEnd w:id="7"/>
      <w:bookmarkEnd w:id="8"/>
      <w:bookmarkEnd w:id="9"/>
      <w:r w:rsidRPr="008D531B">
        <w:rPr>
          <w:b/>
        </w:rPr>
        <w:t>: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 xml:space="preserve">располагать кадрами, обладающими соответствующей квалификацией для осуществления </w:t>
      </w:r>
      <w:r w:rsidR="00654C56" w:rsidRPr="00654C56">
        <w:t>заявленных работ</w:t>
      </w:r>
      <w:r w:rsidRPr="00654C56">
        <w:t xml:space="preserve"> (дипломированные производители работ с опытом работы не менее 3-х последних лет по указанному профилю;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персонал должен быть обучен и пройти проверку знаний по правилам ПТЭ, ОТ, ПБ и другим правилам, в соответствии с особенностями выполнения работ, а также руководители и специалисты должны быть, аттестованы в области промышленной безопасности, энергетической безопасности и по другим областям надзора, в соответствии с выполняемыми работами;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иметь в наличии обученных и аттестованных ИТР (руководителей работ) с опытом работы не менее 3-х лет, имеющих право выдачи  нарядов, распоряжений, быть производителем работ, руководителем работ;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4138A6" w:rsidRPr="00654C56" w:rsidRDefault="004138A6" w:rsidP="00654C5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работ.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>желательно иметь сертификат в соответствии со стандартами ISO;</w:t>
      </w:r>
    </w:p>
    <w:p w:rsidR="004138A6" w:rsidRPr="00654C56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654C56">
        <w:t xml:space="preserve">иметь все необходимые для </w:t>
      </w:r>
      <w:r w:rsidR="00654C56" w:rsidRPr="00654C56">
        <w:t xml:space="preserve">работ </w:t>
      </w:r>
      <w:r w:rsidRPr="00654C56">
        <w:t>инструменты и специальные приспособления;</w:t>
      </w:r>
    </w:p>
    <w:p w:rsidR="004138A6" w:rsidRPr="00CD3C7A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CD3C7A">
        <w:t>организовать своевременное оформление и ведение ремонтной, исполнительной документации, составление при необходимости ППР, актов на скрытые работы;</w:t>
      </w:r>
    </w:p>
    <w:p w:rsidR="00B252BC" w:rsidRDefault="004138A6" w:rsidP="004138A6">
      <w:pPr>
        <w:numPr>
          <w:ilvl w:val="0"/>
          <w:numId w:val="1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CD3C7A">
        <w:t>обеспечить выполнение работ в соответствии с согласованным графиком работ</w:t>
      </w:r>
      <w:r w:rsidR="00B252BC">
        <w:t>;</w:t>
      </w:r>
    </w:p>
    <w:p w:rsidR="004138A6" w:rsidRPr="0059357D" w:rsidRDefault="00B252BC" w:rsidP="00B252BC">
      <w:pPr>
        <w:suppressAutoHyphens/>
        <w:jc w:val="both"/>
      </w:pPr>
      <w:r w:rsidRPr="0059357D">
        <w:t>-  наличие у работников подрядной организации однотипной спецодежды с названием и логотипом организации - подрядчика при выполнении работ на объектах ОАО «ТГК-1</w:t>
      </w:r>
      <w:r w:rsidR="004138A6" w:rsidRPr="0059357D">
        <w:t>.</w:t>
      </w:r>
    </w:p>
    <w:p w:rsidR="001E378A" w:rsidRDefault="001E378A" w:rsidP="001E378A">
      <w:pPr>
        <w:tabs>
          <w:tab w:val="decimal" w:pos="284"/>
        </w:tabs>
        <w:suppressAutoHyphens/>
        <w:spacing w:line="216" w:lineRule="auto"/>
        <w:jc w:val="both"/>
      </w:pPr>
    </w:p>
    <w:p w:rsidR="0071456C" w:rsidRDefault="0071456C" w:rsidP="001E378A">
      <w:pPr>
        <w:tabs>
          <w:tab w:val="decimal" w:pos="284"/>
        </w:tabs>
        <w:suppressAutoHyphens/>
        <w:spacing w:line="216" w:lineRule="auto"/>
        <w:jc w:val="both"/>
      </w:pPr>
    </w:p>
    <w:p w:rsidR="0071456C" w:rsidRPr="0059357D" w:rsidRDefault="0071456C" w:rsidP="001E378A">
      <w:pPr>
        <w:tabs>
          <w:tab w:val="decimal" w:pos="284"/>
        </w:tabs>
        <w:suppressAutoHyphens/>
        <w:spacing w:line="216" w:lineRule="auto"/>
        <w:jc w:val="both"/>
      </w:pPr>
    </w:p>
    <w:p w:rsidR="004138A6" w:rsidRPr="0059357D" w:rsidRDefault="004138A6" w:rsidP="004138A6">
      <w:pPr>
        <w:tabs>
          <w:tab w:val="decimal" w:pos="284"/>
        </w:tabs>
        <w:suppressAutoHyphens/>
        <w:spacing w:line="216" w:lineRule="auto"/>
        <w:jc w:val="both"/>
      </w:pPr>
    </w:p>
    <w:p w:rsidR="004138A6" w:rsidRPr="0059357D" w:rsidRDefault="004138A6" w:rsidP="008D531B">
      <w:pPr>
        <w:pStyle w:val="a4"/>
        <w:numPr>
          <w:ilvl w:val="1"/>
          <w:numId w:val="6"/>
        </w:numPr>
        <w:suppressAutoHyphens/>
        <w:spacing w:line="216" w:lineRule="auto"/>
        <w:ind w:left="0" w:firstLine="0"/>
        <w:jc w:val="both"/>
        <w:rPr>
          <w:b/>
        </w:rPr>
      </w:pPr>
      <w:r w:rsidRPr="0059357D">
        <w:rPr>
          <w:b/>
        </w:rPr>
        <w:t>Требования к Субподрядчикам:</w:t>
      </w:r>
    </w:p>
    <w:p w:rsidR="00CD3C7A" w:rsidRPr="0059357D" w:rsidRDefault="00CD3C7A" w:rsidP="00CD3C7A">
      <w:pPr>
        <w:pStyle w:val="a4"/>
        <w:suppressAutoHyphens/>
        <w:spacing w:line="216" w:lineRule="auto"/>
        <w:jc w:val="both"/>
        <w:rPr>
          <w:b/>
        </w:rPr>
      </w:pPr>
    </w:p>
    <w:p w:rsidR="001555C2" w:rsidRPr="0059357D" w:rsidRDefault="001555C2" w:rsidP="001555C2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59357D"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1555C2" w:rsidRPr="0059357D" w:rsidRDefault="001555C2" w:rsidP="001555C2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59357D"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1555C2" w:rsidRPr="0059357D" w:rsidRDefault="001555C2" w:rsidP="001555C2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59357D">
        <w:t xml:space="preserve">Подрядчик должен включить в свою заявку на участие в </w:t>
      </w:r>
      <w:r w:rsidR="00AD1A98" w:rsidRPr="0059357D">
        <w:t>запросе предложений</w:t>
      </w:r>
      <w:r w:rsidRPr="0059357D">
        <w:t xml:space="preserve">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1555C2" w:rsidRPr="0059357D" w:rsidRDefault="001555C2" w:rsidP="001555C2">
      <w:pPr>
        <w:numPr>
          <w:ilvl w:val="0"/>
          <w:numId w:val="1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59357D">
        <w:t xml:space="preserve">Подрядчик должен обеспечить соответствие любого предложенного Субподрядчика требованиям Организатора </w:t>
      </w:r>
      <w:r w:rsidR="00AD1A98" w:rsidRPr="0059357D">
        <w:t>запроса предложений</w:t>
      </w:r>
      <w:r w:rsidRPr="0059357D">
        <w:t>, изложенным в закупочной документации;</w:t>
      </w:r>
    </w:p>
    <w:p w:rsidR="001555C2" w:rsidRPr="0059357D" w:rsidRDefault="001555C2" w:rsidP="001555C2">
      <w:pPr>
        <w:numPr>
          <w:ilvl w:val="0"/>
          <w:numId w:val="1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59357D">
        <w:t xml:space="preserve">Организатор </w:t>
      </w:r>
      <w:r w:rsidR="00AD1A98" w:rsidRPr="0059357D">
        <w:t xml:space="preserve">запроса предложений </w:t>
      </w:r>
      <w:r w:rsidR="002962AA">
        <w:t xml:space="preserve">может отклонить </w:t>
      </w:r>
      <w:r w:rsidRPr="0059357D">
        <w:t>любого</w:t>
      </w:r>
      <w:r w:rsidR="002962AA">
        <w:t xml:space="preserve"> из предложенных Субподрядчиков, не соответствующ</w:t>
      </w:r>
      <w:r w:rsidR="00F81503">
        <w:t>его</w:t>
      </w:r>
      <w:r w:rsidR="002962AA">
        <w:t xml:space="preserve"> требованиям документации открытого запроса предложений.</w:t>
      </w:r>
    </w:p>
    <w:p w:rsidR="004138A6" w:rsidRPr="0059357D" w:rsidRDefault="004138A6" w:rsidP="004138A6">
      <w:pPr>
        <w:suppressAutoHyphens/>
        <w:spacing w:line="216" w:lineRule="auto"/>
        <w:jc w:val="both"/>
        <w:rPr>
          <w:b/>
        </w:rPr>
      </w:pPr>
    </w:p>
    <w:p w:rsidR="004138A6" w:rsidRPr="0059357D" w:rsidRDefault="004138A6" w:rsidP="008D531B">
      <w:pPr>
        <w:pStyle w:val="a4"/>
        <w:numPr>
          <w:ilvl w:val="0"/>
          <w:numId w:val="5"/>
        </w:numPr>
        <w:suppressAutoHyphens/>
        <w:spacing w:line="216" w:lineRule="auto"/>
        <w:ind w:left="0" w:firstLine="0"/>
        <w:jc w:val="both"/>
        <w:rPr>
          <w:b/>
        </w:rPr>
      </w:pPr>
      <w:r w:rsidRPr="0059357D">
        <w:rPr>
          <w:b/>
        </w:rPr>
        <w:t>Запасные части и материалы:</w:t>
      </w:r>
    </w:p>
    <w:p w:rsidR="00CD3C7A" w:rsidRPr="0059357D" w:rsidRDefault="00CD3C7A" w:rsidP="00CD3C7A">
      <w:pPr>
        <w:pStyle w:val="a4"/>
        <w:suppressAutoHyphens/>
        <w:spacing w:line="216" w:lineRule="auto"/>
        <w:jc w:val="both"/>
        <w:rPr>
          <w:b/>
        </w:rPr>
      </w:pPr>
    </w:p>
    <w:p w:rsidR="004138A6" w:rsidRPr="0059357D" w:rsidRDefault="004138A6" w:rsidP="004138A6">
      <w:pPr>
        <w:suppressAutoHyphens/>
        <w:spacing w:line="216" w:lineRule="auto"/>
        <w:jc w:val="both"/>
        <w:rPr>
          <w:b/>
        </w:rPr>
      </w:pPr>
      <w:r w:rsidRPr="0059357D">
        <w:t xml:space="preserve">3.1. Запасные </w:t>
      </w:r>
      <w:proofErr w:type="gramStart"/>
      <w:r w:rsidRPr="0059357D">
        <w:t>части</w:t>
      </w:r>
      <w:proofErr w:type="gramEnd"/>
      <w:r w:rsidRPr="0059357D">
        <w:t xml:space="preserve"> и материалы поставляются Заказчиком.</w:t>
      </w:r>
    </w:p>
    <w:p w:rsidR="004138A6" w:rsidRPr="0059357D" w:rsidRDefault="004138A6" w:rsidP="004138A6">
      <w:pPr>
        <w:suppressAutoHyphens/>
        <w:spacing w:line="216" w:lineRule="auto"/>
        <w:jc w:val="both"/>
      </w:pPr>
      <w:r w:rsidRPr="0059357D">
        <w:t xml:space="preserve">Подрядчиком могут поставляться только вспомогательные (расходные) материалы, или запасные части и материалы, требующиеся дополнительно по результатам </w:t>
      </w:r>
      <w:proofErr w:type="spellStart"/>
      <w:r w:rsidRPr="0059357D">
        <w:t>дефектации</w:t>
      </w:r>
      <w:proofErr w:type="spellEnd"/>
      <w:r w:rsidRPr="0059357D">
        <w:t xml:space="preserve"> и отсутствующие на складе заказчика.</w:t>
      </w:r>
    </w:p>
    <w:p w:rsidR="004138A6" w:rsidRPr="0059357D" w:rsidRDefault="004138A6" w:rsidP="004138A6">
      <w:pPr>
        <w:suppressAutoHyphens/>
        <w:spacing w:line="216" w:lineRule="auto"/>
        <w:jc w:val="both"/>
      </w:pPr>
    </w:p>
    <w:p w:rsidR="000E786C" w:rsidRPr="0059357D" w:rsidRDefault="000E786C" w:rsidP="000E786C">
      <w:pPr>
        <w:keepNext/>
        <w:tabs>
          <w:tab w:val="left" w:pos="284"/>
        </w:tabs>
        <w:suppressAutoHyphens/>
        <w:ind w:left="426"/>
        <w:jc w:val="center"/>
        <w:outlineLvl w:val="2"/>
        <w:rPr>
          <w:b/>
          <w:snapToGrid w:val="0"/>
          <w:szCs w:val="20"/>
        </w:rPr>
      </w:pPr>
      <w:r w:rsidRPr="0059357D">
        <w:rPr>
          <w:b/>
          <w:snapToGrid w:val="0"/>
          <w:szCs w:val="20"/>
        </w:rPr>
        <w:t xml:space="preserve">Особое требование к документам на виды деятельности, </w:t>
      </w:r>
    </w:p>
    <w:p w:rsidR="000E786C" w:rsidRPr="0059357D" w:rsidRDefault="000E786C" w:rsidP="000E786C">
      <w:pPr>
        <w:keepNext/>
        <w:tabs>
          <w:tab w:val="left" w:pos="284"/>
        </w:tabs>
        <w:suppressAutoHyphens/>
        <w:ind w:left="426"/>
        <w:jc w:val="center"/>
        <w:outlineLvl w:val="2"/>
        <w:rPr>
          <w:b/>
          <w:snapToGrid w:val="0"/>
          <w:szCs w:val="20"/>
        </w:rPr>
      </w:pPr>
      <w:r w:rsidRPr="0059357D">
        <w:rPr>
          <w:b/>
          <w:snapToGrid w:val="0"/>
          <w:szCs w:val="20"/>
        </w:rPr>
        <w:t>связанные с выполнением договора.</w:t>
      </w:r>
    </w:p>
    <w:p w:rsidR="000E786C" w:rsidRPr="0059357D" w:rsidRDefault="000E786C" w:rsidP="000E786C">
      <w:pPr>
        <w:keepNext/>
        <w:tabs>
          <w:tab w:val="left" w:pos="284"/>
        </w:tabs>
        <w:suppressAutoHyphens/>
        <w:ind w:left="426"/>
        <w:jc w:val="center"/>
        <w:outlineLvl w:val="2"/>
        <w:rPr>
          <w:b/>
          <w:snapToGrid w:val="0"/>
          <w:szCs w:val="20"/>
        </w:rPr>
      </w:pPr>
    </w:p>
    <w:p w:rsidR="00C14F1D" w:rsidRDefault="00564AA9" w:rsidP="000E786C">
      <w:pPr>
        <w:tabs>
          <w:tab w:val="num" w:pos="1098"/>
          <w:tab w:val="num" w:pos="1440"/>
        </w:tabs>
        <w:ind w:firstLine="567"/>
        <w:jc w:val="both"/>
        <w:rPr>
          <w:szCs w:val="20"/>
        </w:rPr>
      </w:pPr>
      <w:r>
        <w:rPr>
          <w:szCs w:val="20"/>
        </w:rPr>
        <w:t>Желательно наличие у подрядчика с</w:t>
      </w:r>
      <w:r w:rsidR="00C14F1D">
        <w:rPr>
          <w:szCs w:val="20"/>
        </w:rPr>
        <w:t>видетельств</w:t>
      </w:r>
      <w:r>
        <w:rPr>
          <w:szCs w:val="20"/>
        </w:rPr>
        <w:t>а</w:t>
      </w:r>
      <w:r w:rsidR="00C14F1D">
        <w:rPr>
          <w:szCs w:val="20"/>
        </w:rPr>
        <w:t xml:space="preserve"> СРО о допуске к работам по строительству, реконструкции, капитальному ремонту объектов капитального строительства, которые оказывают</w:t>
      </w:r>
      <w:r w:rsidR="00EE742B">
        <w:rPr>
          <w:szCs w:val="20"/>
        </w:rPr>
        <w:t xml:space="preserve"> влияние на безопасность объектов капитального строительства:</w:t>
      </w:r>
    </w:p>
    <w:p w:rsidR="00EE742B" w:rsidRDefault="00EE742B" w:rsidP="000E786C">
      <w:pPr>
        <w:tabs>
          <w:tab w:val="num" w:pos="1098"/>
          <w:tab w:val="num" w:pos="1440"/>
        </w:tabs>
        <w:ind w:firstLine="567"/>
        <w:jc w:val="both"/>
        <w:rPr>
          <w:szCs w:val="20"/>
        </w:rPr>
      </w:pPr>
      <w:r>
        <w:rPr>
          <w:szCs w:val="20"/>
        </w:rPr>
        <w:t>24. Пусконаладочные работы</w:t>
      </w:r>
    </w:p>
    <w:p w:rsidR="00EE742B" w:rsidRPr="0059357D" w:rsidRDefault="00EE742B" w:rsidP="000E786C">
      <w:pPr>
        <w:tabs>
          <w:tab w:val="num" w:pos="1098"/>
          <w:tab w:val="num" w:pos="1440"/>
        </w:tabs>
        <w:ind w:firstLine="567"/>
        <w:jc w:val="both"/>
        <w:rPr>
          <w:szCs w:val="20"/>
        </w:rPr>
      </w:pPr>
      <w:r>
        <w:rPr>
          <w:szCs w:val="20"/>
        </w:rPr>
        <w:t>24.3. Пусконаладочные работы синхронных генераторов и систем возбуждения</w:t>
      </w:r>
    </w:p>
    <w:p w:rsidR="000E786C" w:rsidRPr="0059357D" w:rsidRDefault="000E786C" w:rsidP="000E786C">
      <w:pPr>
        <w:keepNext/>
        <w:tabs>
          <w:tab w:val="left" w:pos="708"/>
          <w:tab w:val="num" w:pos="1134"/>
        </w:tabs>
        <w:suppressAutoHyphens/>
        <w:outlineLvl w:val="2"/>
        <w:rPr>
          <w:b/>
          <w:snapToGrid w:val="0"/>
          <w:szCs w:val="20"/>
        </w:rPr>
      </w:pPr>
    </w:p>
    <w:p w:rsidR="00C90BF6" w:rsidRPr="00301178" w:rsidRDefault="00C90BF6" w:rsidP="00C90BF6">
      <w:pPr>
        <w:keepNext/>
        <w:tabs>
          <w:tab w:val="left" w:pos="708"/>
          <w:tab w:val="num" w:pos="1134"/>
        </w:tabs>
        <w:suppressAutoHyphens/>
        <w:jc w:val="center"/>
        <w:outlineLvl w:val="2"/>
        <w:rPr>
          <w:b/>
          <w:snapToGrid w:val="0"/>
          <w:szCs w:val="20"/>
        </w:rPr>
      </w:pPr>
      <w:r w:rsidRPr="00301178">
        <w:rPr>
          <w:b/>
          <w:snapToGrid w:val="0"/>
          <w:szCs w:val="20"/>
        </w:rPr>
        <w:t xml:space="preserve">Требования к сроку действия </w:t>
      </w:r>
      <w:r>
        <w:rPr>
          <w:b/>
          <w:snapToGrid w:val="0"/>
          <w:szCs w:val="20"/>
        </w:rPr>
        <w:t>Заявки</w:t>
      </w:r>
      <w:r w:rsidRPr="00301178">
        <w:rPr>
          <w:b/>
          <w:snapToGrid w:val="0"/>
          <w:szCs w:val="20"/>
        </w:rPr>
        <w:t>.</w:t>
      </w:r>
    </w:p>
    <w:p w:rsidR="00C90BF6" w:rsidRPr="00080FCC" w:rsidRDefault="00C90BF6" w:rsidP="00C90BF6">
      <w:pPr>
        <w:tabs>
          <w:tab w:val="num" w:pos="0"/>
        </w:tabs>
        <w:ind w:firstLine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Заявка </w:t>
      </w:r>
      <w:r w:rsidRPr="00301178">
        <w:rPr>
          <w:snapToGrid w:val="0"/>
          <w:szCs w:val="20"/>
        </w:rPr>
        <w:t>действительн</w:t>
      </w:r>
      <w:r>
        <w:rPr>
          <w:snapToGrid w:val="0"/>
          <w:szCs w:val="20"/>
        </w:rPr>
        <w:t>а</w:t>
      </w:r>
      <w:r w:rsidRPr="00301178">
        <w:rPr>
          <w:snapToGrid w:val="0"/>
          <w:szCs w:val="20"/>
        </w:rPr>
        <w:t xml:space="preserve"> в течение срока, указанного Участником в письме о подаче оферты. В любом случае этот срок не должен быть менее 60 календарных дней со дня, следующего за днем окончания приема </w:t>
      </w:r>
      <w:r>
        <w:rPr>
          <w:snapToGrid w:val="0"/>
          <w:szCs w:val="20"/>
        </w:rPr>
        <w:t>Заявок</w:t>
      </w:r>
      <w:r w:rsidRPr="00301178">
        <w:rPr>
          <w:snapToGrid w:val="0"/>
          <w:szCs w:val="20"/>
        </w:rPr>
        <w:t xml:space="preserve">. Указание меньшего срока может быть основанием для отклонения </w:t>
      </w:r>
      <w:r>
        <w:rPr>
          <w:snapToGrid w:val="0"/>
          <w:szCs w:val="20"/>
        </w:rPr>
        <w:t>Заявки</w:t>
      </w:r>
      <w:r w:rsidRPr="00301178">
        <w:rPr>
          <w:snapToGrid w:val="0"/>
          <w:szCs w:val="20"/>
        </w:rPr>
        <w:t>.</w:t>
      </w:r>
    </w:p>
    <w:p w:rsidR="00C90BF6" w:rsidRPr="00080FCC" w:rsidRDefault="00C90BF6" w:rsidP="00C90BF6">
      <w:pPr>
        <w:tabs>
          <w:tab w:val="left" w:pos="708"/>
          <w:tab w:val="num" w:pos="1134"/>
        </w:tabs>
        <w:ind w:firstLine="708"/>
        <w:jc w:val="both"/>
        <w:rPr>
          <w:snapToGrid w:val="0"/>
          <w:szCs w:val="20"/>
        </w:rPr>
      </w:pPr>
    </w:p>
    <w:p w:rsidR="000E786C" w:rsidRPr="000E786C" w:rsidRDefault="000E786C" w:rsidP="000E786C">
      <w:pPr>
        <w:ind w:left="540"/>
        <w:jc w:val="both"/>
      </w:pPr>
      <w:bookmarkStart w:id="10" w:name="_GoBack"/>
      <w:bookmarkEnd w:id="10"/>
    </w:p>
    <w:p w:rsidR="000E786C" w:rsidRPr="000E786C" w:rsidRDefault="000E786C" w:rsidP="003E4842">
      <w:pPr>
        <w:tabs>
          <w:tab w:val="num" w:pos="720"/>
        </w:tabs>
        <w:ind w:left="900" w:hanging="900"/>
        <w:jc w:val="both"/>
      </w:pPr>
    </w:p>
    <w:p w:rsidR="004372C3" w:rsidRPr="004138A6" w:rsidRDefault="004372C3" w:rsidP="000E786C">
      <w:pPr>
        <w:suppressAutoHyphens/>
        <w:spacing w:line="216" w:lineRule="auto"/>
      </w:pPr>
    </w:p>
    <w:sectPr w:rsidR="004372C3" w:rsidRPr="004138A6" w:rsidSect="00EE45EA">
      <w:pgSz w:w="11906" w:h="16838"/>
      <w:pgMar w:top="709" w:right="90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974"/>
    <w:multiLevelType w:val="hybridMultilevel"/>
    <w:tmpl w:val="E9842526"/>
    <w:lvl w:ilvl="0" w:tplc="83EA32DC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163A5F"/>
    <w:multiLevelType w:val="hybridMultilevel"/>
    <w:tmpl w:val="1EC82D4C"/>
    <w:lvl w:ilvl="0" w:tplc="83EA32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CD11116"/>
    <w:multiLevelType w:val="hybridMultilevel"/>
    <w:tmpl w:val="38F6B916"/>
    <w:lvl w:ilvl="0" w:tplc="1D86E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9E164E">
      <w:numFmt w:val="none"/>
      <w:lvlText w:val=""/>
      <w:lvlJc w:val="left"/>
      <w:pPr>
        <w:tabs>
          <w:tab w:val="num" w:pos="360"/>
        </w:tabs>
      </w:pPr>
    </w:lvl>
    <w:lvl w:ilvl="2" w:tplc="15FCD2A6">
      <w:numFmt w:val="none"/>
      <w:lvlText w:val=""/>
      <w:lvlJc w:val="left"/>
      <w:pPr>
        <w:tabs>
          <w:tab w:val="num" w:pos="360"/>
        </w:tabs>
      </w:pPr>
    </w:lvl>
    <w:lvl w:ilvl="3" w:tplc="E40660DE">
      <w:numFmt w:val="none"/>
      <w:lvlText w:val=""/>
      <w:lvlJc w:val="left"/>
      <w:pPr>
        <w:tabs>
          <w:tab w:val="num" w:pos="360"/>
        </w:tabs>
      </w:pPr>
    </w:lvl>
    <w:lvl w:ilvl="4" w:tplc="89B42D22">
      <w:numFmt w:val="none"/>
      <w:lvlText w:val=""/>
      <w:lvlJc w:val="left"/>
      <w:pPr>
        <w:tabs>
          <w:tab w:val="num" w:pos="360"/>
        </w:tabs>
      </w:pPr>
    </w:lvl>
    <w:lvl w:ilvl="5" w:tplc="FC5ACDA0">
      <w:numFmt w:val="none"/>
      <w:lvlText w:val=""/>
      <w:lvlJc w:val="left"/>
      <w:pPr>
        <w:tabs>
          <w:tab w:val="num" w:pos="360"/>
        </w:tabs>
      </w:pPr>
    </w:lvl>
    <w:lvl w:ilvl="6" w:tplc="30266F68">
      <w:numFmt w:val="none"/>
      <w:lvlText w:val=""/>
      <w:lvlJc w:val="left"/>
      <w:pPr>
        <w:tabs>
          <w:tab w:val="num" w:pos="360"/>
        </w:tabs>
      </w:pPr>
    </w:lvl>
    <w:lvl w:ilvl="7" w:tplc="505E9BFA">
      <w:numFmt w:val="none"/>
      <w:lvlText w:val=""/>
      <w:lvlJc w:val="left"/>
      <w:pPr>
        <w:tabs>
          <w:tab w:val="num" w:pos="360"/>
        </w:tabs>
      </w:pPr>
    </w:lvl>
    <w:lvl w:ilvl="8" w:tplc="46B62C5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A2D0375"/>
    <w:multiLevelType w:val="singleLevel"/>
    <w:tmpl w:val="5E348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4C2676"/>
    <w:multiLevelType w:val="multilevel"/>
    <w:tmpl w:val="EFCE695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91008BD"/>
    <w:multiLevelType w:val="hybridMultilevel"/>
    <w:tmpl w:val="62327FF6"/>
    <w:lvl w:ilvl="0" w:tplc="E9202E04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</w:rPr>
    </w:lvl>
    <w:lvl w:ilvl="1" w:tplc="9FA892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EE663EA"/>
    <w:multiLevelType w:val="hybridMultilevel"/>
    <w:tmpl w:val="16B8FA16"/>
    <w:lvl w:ilvl="0" w:tplc="D99CE6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C1E7A"/>
    <w:multiLevelType w:val="multilevel"/>
    <w:tmpl w:val="6BF862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11">
    <w:nsid w:val="7B2812EC"/>
    <w:multiLevelType w:val="hybridMultilevel"/>
    <w:tmpl w:val="D01A1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BD"/>
    <w:rsid w:val="000025C8"/>
    <w:rsid w:val="00006A95"/>
    <w:rsid w:val="0001556F"/>
    <w:rsid w:val="00016005"/>
    <w:rsid w:val="00027A18"/>
    <w:rsid w:val="00034AEF"/>
    <w:rsid w:val="00036B96"/>
    <w:rsid w:val="00037E47"/>
    <w:rsid w:val="00045587"/>
    <w:rsid w:val="00051CFA"/>
    <w:rsid w:val="0005758E"/>
    <w:rsid w:val="00072159"/>
    <w:rsid w:val="00083127"/>
    <w:rsid w:val="00085541"/>
    <w:rsid w:val="00086E27"/>
    <w:rsid w:val="000931F1"/>
    <w:rsid w:val="000933B1"/>
    <w:rsid w:val="000967E0"/>
    <w:rsid w:val="000A177B"/>
    <w:rsid w:val="000A2480"/>
    <w:rsid w:val="000B3A13"/>
    <w:rsid w:val="000B3C37"/>
    <w:rsid w:val="000C1F2A"/>
    <w:rsid w:val="000C456D"/>
    <w:rsid w:val="000D20C1"/>
    <w:rsid w:val="000E786C"/>
    <w:rsid w:val="000F1F9D"/>
    <w:rsid w:val="000F3C0A"/>
    <w:rsid w:val="001055D8"/>
    <w:rsid w:val="00106D30"/>
    <w:rsid w:val="001235CB"/>
    <w:rsid w:val="00123DE8"/>
    <w:rsid w:val="00124898"/>
    <w:rsid w:val="00127902"/>
    <w:rsid w:val="00131B12"/>
    <w:rsid w:val="00132FDE"/>
    <w:rsid w:val="00134FF5"/>
    <w:rsid w:val="00136BBD"/>
    <w:rsid w:val="00141F67"/>
    <w:rsid w:val="00142E96"/>
    <w:rsid w:val="001555C2"/>
    <w:rsid w:val="00173585"/>
    <w:rsid w:val="001868AA"/>
    <w:rsid w:val="00192701"/>
    <w:rsid w:val="00196B05"/>
    <w:rsid w:val="001A07DC"/>
    <w:rsid w:val="001A2A67"/>
    <w:rsid w:val="001A5CD9"/>
    <w:rsid w:val="001A638F"/>
    <w:rsid w:val="001B4AA4"/>
    <w:rsid w:val="001C3F27"/>
    <w:rsid w:val="001C6DE9"/>
    <w:rsid w:val="001D6A89"/>
    <w:rsid w:val="001E0CD5"/>
    <w:rsid w:val="001E199F"/>
    <w:rsid w:val="001E378A"/>
    <w:rsid w:val="001E746C"/>
    <w:rsid w:val="001F2DA6"/>
    <w:rsid w:val="00200F4B"/>
    <w:rsid w:val="0020149F"/>
    <w:rsid w:val="00202EE7"/>
    <w:rsid w:val="00207805"/>
    <w:rsid w:val="00211CBA"/>
    <w:rsid w:val="00213C67"/>
    <w:rsid w:val="0021693C"/>
    <w:rsid w:val="00217ACA"/>
    <w:rsid w:val="00220153"/>
    <w:rsid w:val="00226F0D"/>
    <w:rsid w:val="002348A0"/>
    <w:rsid w:val="00235C1B"/>
    <w:rsid w:val="00240BD9"/>
    <w:rsid w:val="00244656"/>
    <w:rsid w:val="0025378F"/>
    <w:rsid w:val="00262F03"/>
    <w:rsid w:val="00265698"/>
    <w:rsid w:val="0026754B"/>
    <w:rsid w:val="002723A3"/>
    <w:rsid w:val="00273061"/>
    <w:rsid w:val="00276492"/>
    <w:rsid w:val="00290058"/>
    <w:rsid w:val="002905DB"/>
    <w:rsid w:val="00291317"/>
    <w:rsid w:val="00295D0D"/>
    <w:rsid w:val="002962AA"/>
    <w:rsid w:val="002979F8"/>
    <w:rsid w:val="002C7340"/>
    <w:rsid w:val="002D45DA"/>
    <w:rsid w:val="002D46DE"/>
    <w:rsid w:val="002E2879"/>
    <w:rsid w:val="002E2A82"/>
    <w:rsid w:val="002E4160"/>
    <w:rsid w:val="002E7908"/>
    <w:rsid w:val="002F05FE"/>
    <w:rsid w:val="002F0CF7"/>
    <w:rsid w:val="002F2727"/>
    <w:rsid w:val="002F3E24"/>
    <w:rsid w:val="00301770"/>
    <w:rsid w:val="00330082"/>
    <w:rsid w:val="00335B7F"/>
    <w:rsid w:val="00336549"/>
    <w:rsid w:val="00341403"/>
    <w:rsid w:val="00347355"/>
    <w:rsid w:val="0035182E"/>
    <w:rsid w:val="00363DE5"/>
    <w:rsid w:val="00364535"/>
    <w:rsid w:val="00371F41"/>
    <w:rsid w:val="00372033"/>
    <w:rsid w:val="00375047"/>
    <w:rsid w:val="00375235"/>
    <w:rsid w:val="003769DA"/>
    <w:rsid w:val="003775A2"/>
    <w:rsid w:val="003926B9"/>
    <w:rsid w:val="003A5244"/>
    <w:rsid w:val="003A5E98"/>
    <w:rsid w:val="003B2285"/>
    <w:rsid w:val="003B33D1"/>
    <w:rsid w:val="003B36E1"/>
    <w:rsid w:val="003D1096"/>
    <w:rsid w:val="003D2DEC"/>
    <w:rsid w:val="003D4C76"/>
    <w:rsid w:val="003E0226"/>
    <w:rsid w:val="003E257B"/>
    <w:rsid w:val="003E4842"/>
    <w:rsid w:val="003F3533"/>
    <w:rsid w:val="003F4071"/>
    <w:rsid w:val="0040121E"/>
    <w:rsid w:val="00402E0A"/>
    <w:rsid w:val="00403EF4"/>
    <w:rsid w:val="004138A6"/>
    <w:rsid w:val="00421E80"/>
    <w:rsid w:val="00430490"/>
    <w:rsid w:val="004314B9"/>
    <w:rsid w:val="004372C3"/>
    <w:rsid w:val="0044406F"/>
    <w:rsid w:val="00453A56"/>
    <w:rsid w:val="00454FA9"/>
    <w:rsid w:val="0046330A"/>
    <w:rsid w:val="00474374"/>
    <w:rsid w:val="00480CF7"/>
    <w:rsid w:val="00483B9A"/>
    <w:rsid w:val="00491619"/>
    <w:rsid w:val="00492BB1"/>
    <w:rsid w:val="0049598D"/>
    <w:rsid w:val="004B26B1"/>
    <w:rsid w:val="004D174A"/>
    <w:rsid w:val="004D345D"/>
    <w:rsid w:val="004F0240"/>
    <w:rsid w:val="004F1131"/>
    <w:rsid w:val="004F32F1"/>
    <w:rsid w:val="004F599E"/>
    <w:rsid w:val="004F5D74"/>
    <w:rsid w:val="004F5E4A"/>
    <w:rsid w:val="005017B5"/>
    <w:rsid w:val="005146B3"/>
    <w:rsid w:val="00520954"/>
    <w:rsid w:val="00526825"/>
    <w:rsid w:val="00527B98"/>
    <w:rsid w:val="00530FFE"/>
    <w:rsid w:val="005341BC"/>
    <w:rsid w:val="00541416"/>
    <w:rsid w:val="00546A6C"/>
    <w:rsid w:val="00550FE8"/>
    <w:rsid w:val="00553A3B"/>
    <w:rsid w:val="005541D7"/>
    <w:rsid w:val="00555431"/>
    <w:rsid w:val="00561908"/>
    <w:rsid w:val="005620CF"/>
    <w:rsid w:val="00564AA9"/>
    <w:rsid w:val="00565604"/>
    <w:rsid w:val="00570257"/>
    <w:rsid w:val="00571129"/>
    <w:rsid w:val="00571BD7"/>
    <w:rsid w:val="00580E56"/>
    <w:rsid w:val="00581EFC"/>
    <w:rsid w:val="00582B6B"/>
    <w:rsid w:val="005926C9"/>
    <w:rsid w:val="00592C29"/>
    <w:rsid w:val="00592C62"/>
    <w:rsid w:val="0059357D"/>
    <w:rsid w:val="00595708"/>
    <w:rsid w:val="005A2C5B"/>
    <w:rsid w:val="005B5B97"/>
    <w:rsid w:val="005B756B"/>
    <w:rsid w:val="005E793E"/>
    <w:rsid w:val="006010C1"/>
    <w:rsid w:val="00602A08"/>
    <w:rsid w:val="006055B6"/>
    <w:rsid w:val="00610F42"/>
    <w:rsid w:val="006111CF"/>
    <w:rsid w:val="0061162A"/>
    <w:rsid w:val="00615D05"/>
    <w:rsid w:val="00617AF2"/>
    <w:rsid w:val="00624630"/>
    <w:rsid w:val="0063053A"/>
    <w:rsid w:val="00630CCD"/>
    <w:rsid w:val="006338F6"/>
    <w:rsid w:val="00634482"/>
    <w:rsid w:val="00636964"/>
    <w:rsid w:val="00654609"/>
    <w:rsid w:val="00654C56"/>
    <w:rsid w:val="0065700B"/>
    <w:rsid w:val="006618B5"/>
    <w:rsid w:val="00663F64"/>
    <w:rsid w:val="006647AC"/>
    <w:rsid w:val="0068020A"/>
    <w:rsid w:val="006843DE"/>
    <w:rsid w:val="00696089"/>
    <w:rsid w:val="0069798E"/>
    <w:rsid w:val="006E1BE2"/>
    <w:rsid w:val="006E607C"/>
    <w:rsid w:val="006F4148"/>
    <w:rsid w:val="006F57A6"/>
    <w:rsid w:val="006F71CB"/>
    <w:rsid w:val="00703D22"/>
    <w:rsid w:val="007065FC"/>
    <w:rsid w:val="00707224"/>
    <w:rsid w:val="0071456C"/>
    <w:rsid w:val="007206A3"/>
    <w:rsid w:val="0072711D"/>
    <w:rsid w:val="00740D4B"/>
    <w:rsid w:val="0074281C"/>
    <w:rsid w:val="00746A74"/>
    <w:rsid w:val="007473B7"/>
    <w:rsid w:val="007502AA"/>
    <w:rsid w:val="00750915"/>
    <w:rsid w:val="00755D6A"/>
    <w:rsid w:val="007649B6"/>
    <w:rsid w:val="00771961"/>
    <w:rsid w:val="00772482"/>
    <w:rsid w:val="00773C09"/>
    <w:rsid w:val="00775C4B"/>
    <w:rsid w:val="00782D2F"/>
    <w:rsid w:val="00784D75"/>
    <w:rsid w:val="0078745C"/>
    <w:rsid w:val="0079616C"/>
    <w:rsid w:val="00797F33"/>
    <w:rsid w:val="007A1B73"/>
    <w:rsid w:val="007A3C72"/>
    <w:rsid w:val="007B4CB4"/>
    <w:rsid w:val="007C5A53"/>
    <w:rsid w:val="007D1C12"/>
    <w:rsid w:val="007E223A"/>
    <w:rsid w:val="007E2FB1"/>
    <w:rsid w:val="007F60AF"/>
    <w:rsid w:val="00802449"/>
    <w:rsid w:val="00807040"/>
    <w:rsid w:val="00812DA2"/>
    <w:rsid w:val="008134ED"/>
    <w:rsid w:val="00816FD4"/>
    <w:rsid w:val="00827959"/>
    <w:rsid w:val="00834E5D"/>
    <w:rsid w:val="00862224"/>
    <w:rsid w:val="00871CCC"/>
    <w:rsid w:val="00880147"/>
    <w:rsid w:val="00880D03"/>
    <w:rsid w:val="00881F9B"/>
    <w:rsid w:val="00881FF0"/>
    <w:rsid w:val="0088623D"/>
    <w:rsid w:val="00891150"/>
    <w:rsid w:val="00894C94"/>
    <w:rsid w:val="008A08D1"/>
    <w:rsid w:val="008A3063"/>
    <w:rsid w:val="008B4831"/>
    <w:rsid w:val="008B4B71"/>
    <w:rsid w:val="008C62A6"/>
    <w:rsid w:val="008C73AB"/>
    <w:rsid w:val="008C7D66"/>
    <w:rsid w:val="008D1432"/>
    <w:rsid w:val="008D27D8"/>
    <w:rsid w:val="008D531B"/>
    <w:rsid w:val="008E611E"/>
    <w:rsid w:val="008E6BAE"/>
    <w:rsid w:val="008E7BCC"/>
    <w:rsid w:val="008F4DFA"/>
    <w:rsid w:val="008F6D51"/>
    <w:rsid w:val="00901C2E"/>
    <w:rsid w:val="00922199"/>
    <w:rsid w:val="009353A1"/>
    <w:rsid w:val="009357F3"/>
    <w:rsid w:val="00937742"/>
    <w:rsid w:val="0094007A"/>
    <w:rsid w:val="00942658"/>
    <w:rsid w:val="00942B09"/>
    <w:rsid w:val="00943CCB"/>
    <w:rsid w:val="00944EF8"/>
    <w:rsid w:val="00960DDB"/>
    <w:rsid w:val="00972761"/>
    <w:rsid w:val="00981366"/>
    <w:rsid w:val="00981708"/>
    <w:rsid w:val="00984B3A"/>
    <w:rsid w:val="009863B3"/>
    <w:rsid w:val="00990E53"/>
    <w:rsid w:val="00993595"/>
    <w:rsid w:val="009971B1"/>
    <w:rsid w:val="009A2965"/>
    <w:rsid w:val="009A2B9A"/>
    <w:rsid w:val="009A4BC2"/>
    <w:rsid w:val="009A6854"/>
    <w:rsid w:val="009A7D8C"/>
    <w:rsid w:val="009B14C4"/>
    <w:rsid w:val="009B3D5E"/>
    <w:rsid w:val="009C4CCF"/>
    <w:rsid w:val="009D1368"/>
    <w:rsid w:val="009D49F2"/>
    <w:rsid w:val="009D722E"/>
    <w:rsid w:val="009E361A"/>
    <w:rsid w:val="009E6483"/>
    <w:rsid w:val="009F10C5"/>
    <w:rsid w:val="009F1BFC"/>
    <w:rsid w:val="009F4352"/>
    <w:rsid w:val="009F642C"/>
    <w:rsid w:val="009F680A"/>
    <w:rsid w:val="00A149D0"/>
    <w:rsid w:val="00A16EED"/>
    <w:rsid w:val="00A21174"/>
    <w:rsid w:val="00A26854"/>
    <w:rsid w:val="00A336AA"/>
    <w:rsid w:val="00A33FE1"/>
    <w:rsid w:val="00A422ED"/>
    <w:rsid w:val="00A435E3"/>
    <w:rsid w:val="00A466A4"/>
    <w:rsid w:val="00A55364"/>
    <w:rsid w:val="00A7022C"/>
    <w:rsid w:val="00A71829"/>
    <w:rsid w:val="00A82986"/>
    <w:rsid w:val="00A84C4B"/>
    <w:rsid w:val="00A92658"/>
    <w:rsid w:val="00A94017"/>
    <w:rsid w:val="00AA13F7"/>
    <w:rsid w:val="00AB1946"/>
    <w:rsid w:val="00AD1A98"/>
    <w:rsid w:val="00AD3FF4"/>
    <w:rsid w:val="00AD6C66"/>
    <w:rsid w:val="00AF5D14"/>
    <w:rsid w:val="00B252BC"/>
    <w:rsid w:val="00B267A6"/>
    <w:rsid w:val="00B31054"/>
    <w:rsid w:val="00B32615"/>
    <w:rsid w:val="00B41B62"/>
    <w:rsid w:val="00B4477A"/>
    <w:rsid w:val="00B448B5"/>
    <w:rsid w:val="00B5028A"/>
    <w:rsid w:val="00B5336F"/>
    <w:rsid w:val="00B61E56"/>
    <w:rsid w:val="00B649A3"/>
    <w:rsid w:val="00B65B0F"/>
    <w:rsid w:val="00B70835"/>
    <w:rsid w:val="00B877D0"/>
    <w:rsid w:val="00B96912"/>
    <w:rsid w:val="00BA1808"/>
    <w:rsid w:val="00BB7104"/>
    <w:rsid w:val="00BC46AE"/>
    <w:rsid w:val="00BC7FEF"/>
    <w:rsid w:val="00BD3163"/>
    <w:rsid w:val="00BD7501"/>
    <w:rsid w:val="00BF1B95"/>
    <w:rsid w:val="00BF5314"/>
    <w:rsid w:val="00BF72CD"/>
    <w:rsid w:val="00C009F5"/>
    <w:rsid w:val="00C033CC"/>
    <w:rsid w:val="00C03666"/>
    <w:rsid w:val="00C03799"/>
    <w:rsid w:val="00C05A09"/>
    <w:rsid w:val="00C07AE0"/>
    <w:rsid w:val="00C14F1D"/>
    <w:rsid w:val="00C23753"/>
    <w:rsid w:val="00C26934"/>
    <w:rsid w:val="00C35D1C"/>
    <w:rsid w:val="00C36261"/>
    <w:rsid w:val="00C4369D"/>
    <w:rsid w:val="00C43E9E"/>
    <w:rsid w:val="00C47E9A"/>
    <w:rsid w:val="00C54580"/>
    <w:rsid w:val="00C54D24"/>
    <w:rsid w:val="00C56AB5"/>
    <w:rsid w:val="00C61D45"/>
    <w:rsid w:val="00C63CDB"/>
    <w:rsid w:val="00C668A7"/>
    <w:rsid w:val="00C708AF"/>
    <w:rsid w:val="00C726CD"/>
    <w:rsid w:val="00C770FD"/>
    <w:rsid w:val="00C820BC"/>
    <w:rsid w:val="00C90BF6"/>
    <w:rsid w:val="00C944E9"/>
    <w:rsid w:val="00CA0B58"/>
    <w:rsid w:val="00CA26E1"/>
    <w:rsid w:val="00CA3E80"/>
    <w:rsid w:val="00CA689F"/>
    <w:rsid w:val="00CB53DE"/>
    <w:rsid w:val="00CC510D"/>
    <w:rsid w:val="00CD3C7A"/>
    <w:rsid w:val="00CD6DC3"/>
    <w:rsid w:val="00CE33FB"/>
    <w:rsid w:val="00CE4CAC"/>
    <w:rsid w:val="00CE6F81"/>
    <w:rsid w:val="00CF5B82"/>
    <w:rsid w:val="00D058D2"/>
    <w:rsid w:val="00D06221"/>
    <w:rsid w:val="00D12BAD"/>
    <w:rsid w:val="00D26288"/>
    <w:rsid w:val="00D33247"/>
    <w:rsid w:val="00D4055A"/>
    <w:rsid w:val="00D43D82"/>
    <w:rsid w:val="00D50E19"/>
    <w:rsid w:val="00D56A1F"/>
    <w:rsid w:val="00D6533A"/>
    <w:rsid w:val="00D71DDD"/>
    <w:rsid w:val="00D731D8"/>
    <w:rsid w:val="00D75BDA"/>
    <w:rsid w:val="00D829B4"/>
    <w:rsid w:val="00D92E82"/>
    <w:rsid w:val="00D95E6C"/>
    <w:rsid w:val="00DA49E5"/>
    <w:rsid w:val="00DA6E48"/>
    <w:rsid w:val="00DA7ECD"/>
    <w:rsid w:val="00DB2A47"/>
    <w:rsid w:val="00DB3E6D"/>
    <w:rsid w:val="00DB5B05"/>
    <w:rsid w:val="00DB7401"/>
    <w:rsid w:val="00DC0071"/>
    <w:rsid w:val="00DC1C8B"/>
    <w:rsid w:val="00DC40F9"/>
    <w:rsid w:val="00DD25D0"/>
    <w:rsid w:val="00DE67F7"/>
    <w:rsid w:val="00E042DA"/>
    <w:rsid w:val="00E07C50"/>
    <w:rsid w:val="00E10B4F"/>
    <w:rsid w:val="00E256CB"/>
    <w:rsid w:val="00E30301"/>
    <w:rsid w:val="00E36677"/>
    <w:rsid w:val="00E40CEC"/>
    <w:rsid w:val="00E44072"/>
    <w:rsid w:val="00E55BC7"/>
    <w:rsid w:val="00E56677"/>
    <w:rsid w:val="00E67C2D"/>
    <w:rsid w:val="00E71315"/>
    <w:rsid w:val="00E74194"/>
    <w:rsid w:val="00E8358F"/>
    <w:rsid w:val="00E83F7E"/>
    <w:rsid w:val="00E85D7A"/>
    <w:rsid w:val="00E90B13"/>
    <w:rsid w:val="00EA145D"/>
    <w:rsid w:val="00EA2A67"/>
    <w:rsid w:val="00EB4723"/>
    <w:rsid w:val="00EB5A4A"/>
    <w:rsid w:val="00EB6230"/>
    <w:rsid w:val="00ED1E7B"/>
    <w:rsid w:val="00ED2173"/>
    <w:rsid w:val="00ED4A66"/>
    <w:rsid w:val="00EE155B"/>
    <w:rsid w:val="00EE19E2"/>
    <w:rsid w:val="00EE45EA"/>
    <w:rsid w:val="00EE5CBD"/>
    <w:rsid w:val="00EE742B"/>
    <w:rsid w:val="00EF215E"/>
    <w:rsid w:val="00F00958"/>
    <w:rsid w:val="00F03ECC"/>
    <w:rsid w:val="00F05865"/>
    <w:rsid w:val="00F059AC"/>
    <w:rsid w:val="00F164FB"/>
    <w:rsid w:val="00F27AC2"/>
    <w:rsid w:val="00F41965"/>
    <w:rsid w:val="00F456F0"/>
    <w:rsid w:val="00F61C98"/>
    <w:rsid w:val="00F61EE3"/>
    <w:rsid w:val="00F7104F"/>
    <w:rsid w:val="00F7140F"/>
    <w:rsid w:val="00F75E91"/>
    <w:rsid w:val="00F81503"/>
    <w:rsid w:val="00F83716"/>
    <w:rsid w:val="00F84C0D"/>
    <w:rsid w:val="00F84DBE"/>
    <w:rsid w:val="00F91453"/>
    <w:rsid w:val="00F9722F"/>
    <w:rsid w:val="00FA4AED"/>
    <w:rsid w:val="00FA642D"/>
    <w:rsid w:val="00FB494D"/>
    <w:rsid w:val="00FB7C36"/>
    <w:rsid w:val="00FC674C"/>
    <w:rsid w:val="00FD431B"/>
    <w:rsid w:val="00FD5497"/>
    <w:rsid w:val="00FD5F5E"/>
    <w:rsid w:val="00FF4083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1C98"/>
    <w:pPr>
      <w:ind w:left="720"/>
      <w:contextualSpacing/>
    </w:pPr>
  </w:style>
  <w:style w:type="paragraph" w:customStyle="1" w:styleId="063">
    <w:name w:val="Стиль По ширине Первая строка:  063 см Междустр.интервал:  полут..."/>
    <w:basedOn w:val="a"/>
    <w:rsid w:val="0026754B"/>
    <w:pPr>
      <w:spacing w:line="360" w:lineRule="auto"/>
      <w:ind w:firstLine="360"/>
      <w:jc w:val="both"/>
    </w:pPr>
    <w:rPr>
      <w:sz w:val="20"/>
      <w:szCs w:val="20"/>
    </w:rPr>
  </w:style>
  <w:style w:type="paragraph" w:styleId="a5">
    <w:name w:val="Plain Text"/>
    <w:basedOn w:val="a"/>
    <w:link w:val="a6"/>
    <w:rsid w:val="00901C2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901C2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5C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C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402E0A"/>
    <w:pPr>
      <w:ind w:left="720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402E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E78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E78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1C98"/>
    <w:pPr>
      <w:ind w:left="720"/>
      <w:contextualSpacing/>
    </w:pPr>
  </w:style>
  <w:style w:type="paragraph" w:customStyle="1" w:styleId="063">
    <w:name w:val="Стиль По ширине Первая строка:  063 см Междустр.интервал:  полут..."/>
    <w:basedOn w:val="a"/>
    <w:rsid w:val="0026754B"/>
    <w:pPr>
      <w:spacing w:line="360" w:lineRule="auto"/>
      <w:ind w:firstLine="360"/>
      <w:jc w:val="both"/>
    </w:pPr>
    <w:rPr>
      <w:sz w:val="20"/>
      <w:szCs w:val="20"/>
    </w:rPr>
  </w:style>
  <w:style w:type="paragraph" w:styleId="a5">
    <w:name w:val="Plain Text"/>
    <w:basedOn w:val="a"/>
    <w:link w:val="a6"/>
    <w:rsid w:val="00901C2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901C2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5C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C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402E0A"/>
    <w:pPr>
      <w:ind w:left="720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402E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E78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E78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209C5-D2CE-485B-B484-DA98ACCD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 Андрей Михайлович</dc:creator>
  <cp:keywords/>
  <dc:description/>
  <cp:lastModifiedBy>Богданова</cp:lastModifiedBy>
  <cp:revision>113</cp:revision>
  <cp:lastPrinted>2012-07-25T12:32:00Z</cp:lastPrinted>
  <dcterms:created xsi:type="dcterms:W3CDTF">2012-07-12T06:44:00Z</dcterms:created>
  <dcterms:modified xsi:type="dcterms:W3CDTF">2012-10-29T12:40:00Z</dcterms:modified>
</cp:coreProperties>
</file>